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FF5E6" w14:textId="77777777" w:rsidR="0065634F" w:rsidRPr="00BD1CC1" w:rsidRDefault="0065634F" w:rsidP="0065634F">
      <w:pPr>
        <w:pStyle w:val="BodyText"/>
        <w:rPr>
          <w:sz w:val="6"/>
          <w:szCs w:val="6"/>
        </w:rPr>
      </w:pPr>
      <w:r w:rsidRPr="00BD1CC1">
        <w:rPr>
          <w:noProof/>
        </w:rPr>
        <w:drawing>
          <wp:inline distT="0" distB="0" distL="0" distR="0" wp14:anchorId="16568FA1" wp14:editId="11D0CA90">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65634F" w:rsidRPr="00BD1CC1" w14:paraId="5135EB27" w14:textId="77777777" w:rsidTr="00BE292A">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99982A6" w14:textId="77777777" w:rsidR="0065634F" w:rsidRPr="00EC47B6" w:rsidRDefault="0065634F" w:rsidP="00BE292A">
            <w:pPr>
              <w:pStyle w:val="RefTableData"/>
            </w:pPr>
            <w:r w:rsidRPr="00F246C7">
              <w:t>Reference number(s</w:t>
            </w:r>
            <w:r w:rsidRPr="00EC47B6">
              <w:t>)</w:t>
            </w:r>
          </w:p>
        </w:tc>
      </w:tr>
      <w:tr w:rsidR="0065634F" w:rsidRPr="00BD1CC1" w14:paraId="1E09EC0C" w14:textId="77777777" w:rsidTr="00BE292A">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1C8B10A3" w14:textId="677E5740" w:rsidR="0065634F" w:rsidRPr="00FF66BF" w:rsidRDefault="0065634F" w:rsidP="00BE292A">
            <w:pPr>
              <w:pStyle w:val="RefTableHeader"/>
            </w:pPr>
            <w:r>
              <w:t xml:space="preserve">1218-J, </w:t>
            </w:r>
            <w:r w:rsidR="00BC7F0B">
              <w:t xml:space="preserve"> </w:t>
            </w:r>
            <w:r>
              <w:t>683-J</w:t>
            </w:r>
          </w:p>
        </w:tc>
      </w:tr>
    </w:tbl>
    <w:p w14:paraId="7DB14FFD" w14:textId="77777777" w:rsidR="0065634F" w:rsidRDefault="0065634F" w:rsidP="0065634F">
      <w:pPr>
        <w:pStyle w:val="BodyText"/>
        <w:spacing w:after="0"/>
        <w:rPr>
          <w:b/>
          <w:bCs/>
          <w:sz w:val="16"/>
          <w:szCs w:val="16"/>
        </w:rPr>
        <w:sectPr w:rsidR="0065634F" w:rsidSect="0014555F">
          <w:headerReference w:type="default" r:id="rId12"/>
          <w:footerReference w:type="default" r:id="rId13"/>
          <w:footerReference w:type="first" r:id="rId14"/>
          <w:type w:val="continuous"/>
          <w:pgSz w:w="12240" w:h="15840" w:code="1"/>
          <w:pgMar w:top="900" w:right="720" w:bottom="990" w:left="720" w:header="720" w:footer="807" w:gutter="0"/>
          <w:paperSrc w:first="15" w:other="15"/>
          <w:cols w:space="720"/>
          <w:titlePg/>
          <w:docGrid w:linePitch="299"/>
        </w:sectPr>
      </w:pPr>
    </w:p>
    <w:p w14:paraId="29C57C2B" w14:textId="4C5DEC89" w:rsidR="001B08AB" w:rsidRPr="00A178DB" w:rsidRDefault="006D3BF4" w:rsidP="0065634F">
      <w:pPr>
        <w:pStyle w:val="Heading1"/>
      </w:pPr>
      <w:r>
        <w:t xml:space="preserve">Post Limit </w:t>
      </w:r>
      <w:r w:rsidR="00DB489D" w:rsidRPr="00A178DB">
        <w:t>Prior Authorization</w:t>
      </w:r>
      <w:r w:rsidR="00DB489D" w:rsidRPr="00A178DB">
        <w:br/>
        <w:t>Attention Deficit Hyperactivity Disorder (A</w:t>
      </w:r>
      <w:r w:rsidR="00E66737" w:rsidRPr="00A178DB">
        <w:t>DHD</w:t>
      </w:r>
      <w:r w:rsidR="00DB489D" w:rsidRPr="00A178DB">
        <w:t>) Agents</w:t>
      </w:r>
    </w:p>
    <w:p w14:paraId="3BD7C12C" w14:textId="589C51E3" w:rsidR="000B662F" w:rsidRPr="00CB01E1" w:rsidRDefault="000B662F" w:rsidP="000B662F">
      <w:pPr>
        <w:pStyle w:val="Heading2"/>
      </w:pPr>
      <w:r w:rsidRPr="00CB01E1">
        <w:t>Products Referenced by this Document</w:t>
      </w:r>
    </w:p>
    <w:p w14:paraId="5F1A77BE" w14:textId="59DADE17" w:rsidR="000B662F" w:rsidRDefault="000B662F" w:rsidP="000B662F">
      <w:pPr>
        <w:pStyle w:val="BodyText"/>
      </w:pPr>
      <w:r w:rsidRPr="00CB01E1">
        <w:t>Drugs that are listed in the following table include both brand and generic and all dosage forms and strengths unless otherwise stated. O</w:t>
      </w:r>
      <w:r>
        <w:t>ver</w:t>
      </w:r>
      <w:r w:rsidR="00F1202F">
        <w:t>-</w:t>
      </w:r>
      <w:r>
        <w:t>the</w:t>
      </w:r>
      <w:r w:rsidR="00F1202F">
        <w:t>-</w:t>
      </w:r>
      <w:r>
        <w:t>counter (O</w:t>
      </w:r>
      <w:r w:rsidRPr="00CB01E1">
        <w:t>TC</w:t>
      </w:r>
      <w:r>
        <w:t>)</w:t>
      </w:r>
      <w:r w:rsidRPr="00CB01E1">
        <w:t xml:space="preserve"> products are not included unless otherwise stated.</w:t>
      </w:r>
    </w:p>
    <w:p w14:paraId="1570AE29" w14:textId="77777777" w:rsidR="000B662F" w:rsidRPr="00CB01E1" w:rsidRDefault="000B662F" w:rsidP="000B662F">
      <w:pPr>
        <w:pStyle w:val="Heading3"/>
      </w:pPr>
      <w:r>
        <w:t>Amphetamines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7536A328" w14:textId="77777777" w:rsidTr="00BE292A">
        <w:trPr>
          <w:cantSplit/>
          <w:trHeight w:val="288"/>
          <w:tblHeader/>
        </w:trPr>
        <w:tc>
          <w:tcPr>
            <w:tcW w:w="3590" w:type="dxa"/>
            <w:vAlign w:val="center"/>
          </w:tcPr>
          <w:p w14:paraId="1ED61138" w14:textId="77777777" w:rsidR="000B662F" w:rsidRPr="00CB01E1" w:rsidRDefault="000B662F" w:rsidP="00BE292A">
            <w:pPr>
              <w:pStyle w:val="TableHeader"/>
            </w:pPr>
            <w:r w:rsidRPr="00CB01E1">
              <w:t>Brand Name</w:t>
            </w:r>
          </w:p>
        </w:tc>
        <w:tc>
          <w:tcPr>
            <w:tcW w:w="3590" w:type="dxa"/>
            <w:vAlign w:val="center"/>
          </w:tcPr>
          <w:p w14:paraId="155F5F46" w14:textId="77777777" w:rsidR="000B662F" w:rsidRPr="00CB01E1" w:rsidRDefault="000B662F" w:rsidP="00BE292A">
            <w:pPr>
              <w:pStyle w:val="TableHeader"/>
            </w:pPr>
            <w:r w:rsidRPr="00CB01E1">
              <w:t>Generic Name</w:t>
            </w:r>
          </w:p>
        </w:tc>
        <w:tc>
          <w:tcPr>
            <w:tcW w:w="3590" w:type="dxa"/>
          </w:tcPr>
          <w:p w14:paraId="06D6B050" w14:textId="77777777" w:rsidR="000B662F" w:rsidRPr="00CB01E1" w:rsidRDefault="000B662F" w:rsidP="00BE292A">
            <w:pPr>
              <w:pStyle w:val="TableHeader"/>
            </w:pPr>
            <w:r>
              <w:t>Dosage Form</w:t>
            </w:r>
          </w:p>
        </w:tc>
      </w:tr>
      <w:tr w:rsidR="000B662F" w:rsidRPr="00CB01E1" w14:paraId="6908C12A" w14:textId="77777777" w:rsidTr="00BE292A">
        <w:trPr>
          <w:cantSplit/>
        </w:trPr>
        <w:tc>
          <w:tcPr>
            <w:tcW w:w="3590" w:type="dxa"/>
          </w:tcPr>
          <w:p w14:paraId="4C1E3B47" w14:textId="77777777" w:rsidR="000B662F" w:rsidRPr="00CB01E1" w:rsidRDefault="000B662F" w:rsidP="00BE292A">
            <w:pPr>
              <w:pStyle w:val="BodyText"/>
              <w:spacing w:after="0"/>
            </w:pPr>
            <w:r w:rsidRPr="00CB01E1">
              <w:t>Adzenys</w:t>
            </w:r>
          </w:p>
        </w:tc>
        <w:tc>
          <w:tcPr>
            <w:tcW w:w="3590" w:type="dxa"/>
          </w:tcPr>
          <w:p w14:paraId="3ED4F579" w14:textId="77777777" w:rsidR="000B662F" w:rsidRPr="00CB01E1" w:rsidRDefault="000B662F" w:rsidP="00BE292A">
            <w:pPr>
              <w:pStyle w:val="BodyText"/>
              <w:spacing w:after="0"/>
            </w:pPr>
            <w:r w:rsidRPr="00CB01E1">
              <w:t>amphetamine</w:t>
            </w:r>
          </w:p>
        </w:tc>
        <w:tc>
          <w:tcPr>
            <w:tcW w:w="3590" w:type="dxa"/>
          </w:tcPr>
          <w:p w14:paraId="0ADA0544" w14:textId="77777777" w:rsidR="000B662F" w:rsidRPr="00CB01E1" w:rsidRDefault="000B662F" w:rsidP="00BE292A">
            <w:pPr>
              <w:pStyle w:val="BodyText"/>
              <w:spacing w:after="0"/>
            </w:pPr>
            <w:r>
              <w:t>all products</w:t>
            </w:r>
          </w:p>
        </w:tc>
      </w:tr>
      <w:tr w:rsidR="000B662F" w:rsidRPr="00CB01E1" w14:paraId="129C564B" w14:textId="77777777" w:rsidTr="00BE292A">
        <w:trPr>
          <w:cantSplit/>
        </w:trPr>
        <w:tc>
          <w:tcPr>
            <w:tcW w:w="3590" w:type="dxa"/>
          </w:tcPr>
          <w:p w14:paraId="0FE762B2" w14:textId="77777777" w:rsidR="000B662F" w:rsidRPr="00CB01E1" w:rsidRDefault="000B662F" w:rsidP="00BE292A">
            <w:pPr>
              <w:pStyle w:val="BodyText"/>
              <w:spacing w:after="0"/>
            </w:pPr>
            <w:r w:rsidRPr="00CB01E1">
              <w:t>Dyanavel</w:t>
            </w:r>
          </w:p>
        </w:tc>
        <w:tc>
          <w:tcPr>
            <w:tcW w:w="3590" w:type="dxa"/>
          </w:tcPr>
          <w:p w14:paraId="3AC1F27F" w14:textId="77777777" w:rsidR="000B662F" w:rsidRPr="00CB01E1" w:rsidRDefault="000B662F" w:rsidP="00BE292A">
            <w:pPr>
              <w:pStyle w:val="BodyText"/>
              <w:spacing w:after="0"/>
            </w:pPr>
            <w:r w:rsidRPr="00CB01E1">
              <w:t>amphetamine</w:t>
            </w:r>
          </w:p>
        </w:tc>
        <w:tc>
          <w:tcPr>
            <w:tcW w:w="3590" w:type="dxa"/>
          </w:tcPr>
          <w:p w14:paraId="3D80D5F1" w14:textId="77777777" w:rsidR="000B662F" w:rsidRPr="00CB01E1" w:rsidRDefault="000B662F" w:rsidP="00BE292A">
            <w:pPr>
              <w:pStyle w:val="BodyText"/>
              <w:spacing w:after="0"/>
            </w:pPr>
            <w:r>
              <w:t>all products</w:t>
            </w:r>
          </w:p>
        </w:tc>
      </w:tr>
      <w:tr w:rsidR="000B662F" w:rsidRPr="00CB01E1" w14:paraId="1E712602" w14:textId="77777777" w:rsidTr="00BE292A">
        <w:trPr>
          <w:cantSplit/>
        </w:trPr>
        <w:tc>
          <w:tcPr>
            <w:tcW w:w="3590" w:type="dxa"/>
          </w:tcPr>
          <w:p w14:paraId="12A749A0" w14:textId="77777777" w:rsidR="000B662F" w:rsidRPr="00CB01E1" w:rsidRDefault="000B662F" w:rsidP="00BE292A">
            <w:pPr>
              <w:pStyle w:val="BodyText"/>
              <w:spacing w:after="0"/>
            </w:pPr>
            <w:r w:rsidRPr="00CB01E1">
              <w:t>Evekeo</w:t>
            </w:r>
          </w:p>
        </w:tc>
        <w:tc>
          <w:tcPr>
            <w:tcW w:w="3590" w:type="dxa"/>
          </w:tcPr>
          <w:p w14:paraId="36C03274" w14:textId="77777777" w:rsidR="000B662F" w:rsidRPr="00CB01E1" w:rsidRDefault="000B662F" w:rsidP="00BE292A">
            <w:pPr>
              <w:pStyle w:val="BodyText"/>
              <w:spacing w:after="0"/>
            </w:pPr>
            <w:r w:rsidRPr="00CB01E1">
              <w:t>amphetamine</w:t>
            </w:r>
          </w:p>
        </w:tc>
        <w:tc>
          <w:tcPr>
            <w:tcW w:w="3590" w:type="dxa"/>
          </w:tcPr>
          <w:p w14:paraId="065C4FE1" w14:textId="77777777" w:rsidR="000B662F" w:rsidRPr="00CB01E1" w:rsidRDefault="000B662F" w:rsidP="00BE292A">
            <w:pPr>
              <w:pStyle w:val="BodyText"/>
              <w:spacing w:after="0"/>
            </w:pPr>
            <w:r>
              <w:t>all products</w:t>
            </w:r>
          </w:p>
        </w:tc>
      </w:tr>
    </w:tbl>
    <w:p w14:paraId="75CBE833" w14:textId="77777777" w:rsidR="000B662F" w:rsidRDefault="000B662F" w:rsidP="000B662F">
      <w:pPr>
        <w:pStyle w:val="Heading3"/>
      </w:pPr>
      <w:r>
        <w:t>Amphetamine-Dextroamphetamines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7678EA15" w14:textId="77777777" w:rsidTr="00BE292A">
        <w:trPr>
          <w:cantSplit/>
          <w:trHeight w:val="288"/>
          <w:tblHeader/>
        </w:trPr>
        <w:tc>
          <w:tcPr>
            <w:tcW w:w="3590" w:type="dxa"/>
            <w:vAlign w:val="center"/>
          </w:tcPr>
          <w:p w14:paraId="2A97E5B0" w14:textId="77777777" w:rsidR="000B662F" w:rsidRPr="00CB01E1" w:rsidRDefault="000B662F" w:rsidP="00BE292A">
            <w:pPr>
              <w:pStyle w:val="TableHeader"/>
            </w:pPr>
            <w:r w:rsidRPr="00CB01E1">
              <w:t>Brand Name</w:t>
            </w:r>
          </w:p>
        </w:tc>
        <w:tc>
          <w:tcPr>
            <w:tcW w:w="3590" w:type="dxa"/>
            <w:vAlign w:val="center"/>
          </w:tcPr>
          <w:p w14:paraId="20535FD7" w14:textId="77777777" w:rsidR="000B662F" w:rsidRPr="00CB01E1" w:rsidRDefault="000B662F" w:rsidP="00BE292A">
            <w:pPr>
              <w:pStyle w:val="TableHeader"/>
            </w:pPr>
            <w:r w:rsidRPr="00CB01E1">
              <w:t>Generic Name</w:t>
            </w:r>
          </w:p>
        </w:tc>
        <w:tc>
          <w:tcPr>
            <w:tcW w:w="3590" w:type="dxa"/>
          </w:tcPr>
          <w:p w14:paraId="399078D9" w14:textId="77777777" w:rsidR="000B662F" w:rsidRPr="00CB01E1" w:rsidRDefault="000B662F" w:rsidP="00BE292A">
            <w:pPr>
              <w:pStyle w:val="TableHeader"/>
            </w:pPr>
            <w:r>
              <w:t>Dosage Form</w:t>
            </w:r>
          </w:p>
        </w:tc>
      </w:tr>
      <w:tr w:rsidR="000B662F" w:rsidRPr="00CB01E1" w14:paraId="52D462E9" w14:textId="77777777" w:rsidTr="00BE292A">
        <w:trPr>
          <w:cantSplit/>
        </w:trPr>
        <w:tc>
          <w:tcPr>
            <w:tcW w:w="3590" w:type="dxa"/>
          </w:tcPr>
          <w:p w14:paraId="17B90BE3" w14:textId="77777777" w:rsidR="000B662F" w:rsidRPr="00CB01E1" w:rsidRDefault="000B662F" w:rsidP="00BE292A">
            <w:pPr>
              <w:pStyle w:val="BodyText"/>
              <w:spacing w:after="0"/>
            </w:pPr>
            <w:r w:rsidRPr="00CB01E1">
              <w:t>Adderall</w:t>
            </w:r>
          </w:p>
        </w:tc>
        <w:tc>
          <w:tcPr>
            <w:tcW w:w="3590" w:type="dxa"/>
          </w:tcPr>
          <w:p w14:paraId="3109B871" w14:textId="77777777" w:rsidR="000B662F" w:rsidRPr="00CB01E1" w:rsidRDefault="000B662F" w:rsidP="00BE292A">
            <w:pPr>
              <w:pStyle w:val="BodyText"/>
              <w:spacing w:after="0"/>
            </w:pPr>
            <w:r w:rsidRPr="00CB01E1">
              <w:t>amphetamine-dextroamphetamine</w:t>
            </w:r>
          </w:p>
        </w:tc>
        <w:tc>
          <w:tcPr>
            <w:tcW w:w="3590" w:type="dxa"/>
          </w:tcPr>
          <w:p w14:paraId="5CF58AA2" w14:textId="77777777" w:rsidR="000B662F" w:rsidRPr="00CB01E1" w:rsidRDefault="000B662F" w:rsidP="00BE292A">
            <w:pPr>
              <w:pStyle w:val="BodyText"/>
              <w:spacing w:after="0"/>
            </w:pPr>
            <w:r>
              <w:t>all products</w:t>
            </w:r>
          </w:p>
        </w:tc>
      </w:tr>
      <w:tr w:rsidR="000B662F" w:rsidRPr="00CB01E1" w14:paraId="0F3DB8E0" w14:textId="77777777" w:rsidTr="00BE292A">
        <w:trPr>
          <w:cantSplit/>
        </w:trPr>
        <w:tc>
          <w:tcPr>
            <w:tcW w:w="3590" w:type="dxa"/>
          </w:tcPr>
          <w:p w14:paraId="38E35A5D" w14:textId="77777777" w:rsidR="000B662F" w:rsidRPr="00CB01E1" w:rsidRDefault="000B662F" w:rsidP="00BE292A">
            <w:pPr>
              <w:pStyle w:val="BodyText"/>
              <w:spacing w:after="0"/>
            </w:pPr>
            <w:r w:rsidRPr="00CB01E1">
              <w:t>Mydayis</w:t>
            </w:r>
          </w:p>
        </w:tc>
        <w:tc>
          <w:tcPr>
            <w:tcW w:w="3590" w:type="dxa"/>
          </w:tcPr>
          <w:p w14:paraId="050E73D6" w14:textId="77777777" w:rsidR="000B662F" w:rsidRPr="00CB01E1" w:rsidRDefault="000B662F" w:rsidP="00BE292A">
            <w:pPr>
              <w:pStyle w:val="BodyText"/>
              <w:spacing w:after="0"/>
            </w:pPr>
            <w:r w:rsidRPr="00CB01E1">
              <w:t>amphetamine-dextroamphetamine</w:t>
            </w:r>
          </w:p>
        </w:tc>
        <w:tc>
          <w:tcPr>
            <w:tcW w:w="3590" w:type="dxa"/>
          </w:tcPr>
          <w:p w14:paraId="167E8840" w14:textId="77777777" w:rsidR="000B662F" w:rsidRPr="00CB01E1" w:rsidRDefault="000B662F" w:rsidP="00BE292A">
            <w:pPr>
              <w:pStyle w:val="BodyText"/>
              <w:spacing w:after="0"/>
            </w:pPr>
            <w:r>
              <w:t>all products</w:t>
            </w:r>
          </w:p>
        </w:tc>
      </w:tr>
    </w:tbl>
    <w:p w14:paraId="4DEA10A3" w14:textId="77777777" w:rsidR="000B662F" w:rsidRDefault="000B662F" w:rsidP="000B662F">
      <w:pPr>
        <w:pStyle w:val="Heading3"/>
      </w:pPr>
      <w:r>
        <w:t>Dexmethylphenidates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2DE8719B" w14:textId="77777777" w:rsidTr="00BE292A">
        <w:trPr>
          <w:cantSplit/>
          <w:trHeight w:val="288"/>
          <w:tblHeader/>
        </w:trPr>
        <w:tc>
          <w:tcPr>
            <w:tcW w:w="3590" w:type="dxa"/>
            <w:vAlign w:val="center"/>
          </w:tcPr>
          <w:p w14:paraId="278D1DF3" w14:textId="77777777" w:rsidR="000B662F" w:rsidRPr="00CB01E1" w:rsidRDefault="000B662F" w:rsidP="00BE292A">
            <w:pPr>
              <w:pStyle w:val="TableHeader"/>
            </w:pPr>
            <w:r w:rsidRPr="00CB01E1">
              <w:t>Brand Name</w:t>
            </w:r>
          </w:p>
        </w:tc>
        <w:tc>
          <w:tcPr>
            <w:tcW w:w="3590" w:type="dxa"/>
            <w:vAlign w:val="center"/>
          </w:tcPr>
          <w:p w14:paraId="6BC2B9DC" w14:textId="77777777" w:rsidR="000B662F" w:rsidRPr="00CB01E1" w:rsidRDefault="000B662F" w:rsidP="00BE292A">
            <w:pPr>
              <w:pStyle w:val="TableHeader"/>
            </w:pPr>
            <w:r w:rsidRPr="00CB01E1">
              <w:t>Generic Name</w:t>
            </w:r>
          </w:p>
        </w:tc>
        <w:tc>
          <w:tcPr>
            <w:tcW w:w="3590" w:type="dxa"/>
          </w:tcPr>
          <w:p w14:paraId="28610ACF" w14:textId="77777777" w:rsidR="000B662F" w:rsidRPr="00CB01E1" w:rsidRDefault="000B662F" w:rsidP="00BE292A">
            <w:pPr>
              <w:pStyle w:val="TableHeader"/>
            </w:pPr>
            <w:r>
              <w:t>Dosage Form</w:t>
            </w:r>
          </w:p>
        </w:tc>
      </w:tr>
      <w:tr w:rsidR="000B662F" w:rsidRPr="00CB01E1" w14:paraId="67E35FD9" w14:textId="77777777" w:rsidTr="00BE292A">
        <w:trPr>
          <w:cantSplit/>
        </w:trPr>
        <w:tc>
          <w:tcPr>
            <w:tcW w:w="3590" w:type="dxa"/>
          </w:tcPr>
          <w:p w14:paraId="495B08F2" w14:textId="77777777" w:rsidR="000B662F" w:rsidRPr="00CB01E1" w:rsidRDefault="000B662F" w:rsidP="00BE292A">
            <w:pPr>
              <w:pStyle w:val="BodyText"/>
              <w:spacing w:after="0"/>
            </w:pPr>
            <w:r w:rsidRPr="00CB01E1">
              <w:t>Azstarys</w:t>
            </w:r>
          </w:p>
        </w:tc>
        <w:tc>
          <w:tcPr>
            <w:tcW w:w="3590" w:type="dxa"/>
          </w:tcPr>
          <w:p w14:paraId="44730A40" w14:textId="77777777" w:rsidR="000B662F" w:rsidRPr="00CB01E1" w:rsidRDefault="000B662F" w:rsidP="00BE292A">
            <w:pPr>
              <w:pStyle w:val="BodyText"/>
              <w:spacing w:after="0"/>
            </w:pPr>
            <w:r w:rsidRPr="00CB01E1">
              <w:t>serdexmethylphenidate / dexmethylphenidate</w:t>
            </w:r>
          </w:p>
        </w:tc>
        <w:tc>
          <w:tcPr>
            <w:tcW w:w="3590" w:type="dxa"/>
          </w:tcPr>
          <w:p w14:paraId="0C5D0707" w14:textId="77777777" w:rsidR="000B662F" w:rsidRPr="00CB01E1" w:rsidRDefault="000B662F" w:rsidP="00BE292A">
            <w:pPr>
              <w:pStyle w:val="BodyText"/>
              <w:spacing w:after="0"/>
            </w:pPr>
            <w:r>
              <w:t>all products</w:t>
            </w:r>
          </w:p>
        </w:tc>
      </w:tr>
      <w:tr w:rsidR="000B662F" w:rsidRPr="00CB01E1" w14:paraId="71DD715C" w14:textId="77777777" w:rsidTr="00BE292A">
        <w:trPr>
          <w:cantSplit/>
        </w:trPr>
        <w:tc>
          <w:tcPr>
            <w:tcW w:w="3590" w:type="dxa"/>
          </w:tcPr>
          <w:p w14:paraId="18E0EC8A" w14:textId="77777777" w:rsidR="000B662F" w:rsidRPr="00CB01E1" w:rsidRDefault="000B662F" w:rsidP="00BE292A">
            <w:pPr>
              <w:pStyle w:val="BodyText"/>
              <w:spacing w:after="0"/>
            </w:pPr>
            <w:r w:rsidRPr="00CB01E1">
              <w:lastRenderedPageBreak/>
              <w:t>Focalin</w:t>
            </w:r>
          </w:p>
        </w:tc>
        <w:tc>
          <w:tcPr>
            <w:tcW w:w="3590" w:type="dxa"/>
          </w:tcPr>
          <w:p w14:paraId="07DF2268" w14:textId="77777777" w:rsidR="000B662F" w:rsidRPr="00CB01E1" w:rsidRDefault="000B662F" w:rsidP="00BE292A">
            <w:pPr>
              <w:pStyle w:val="BodyText"/>
              <w:spacing w:after="0"/>
            </w:pPr>
            <w:r w:rsidRPr="00CB01E1">
              <w:t>dexmethylphenidate</w:t>
            </w:r>
          </w:p>
        </w:tc>
        <w:tc>
          <w:tcPr>
            <w:tcW w:w="3590" w:type="dxa"/>
          </w:tcPr>
          <w:p w14:paraId="1637B312" w14:textId="77777777" w:rsidR="000B662F" w:rsidRPr="00CB01E1" w:rsidRDefault="000B662F" w:rsidP="00BE292A">
            <w:pPr>
              <w:pStyle w:val="BodyText"/>
              <w:spacing w:after="0"/>
            </w:pPr>
            <w:r>
              <w:t>all products</w:t>
            </w:r>
          </w:p>
        </w:tc>
      </w:tr>
    </w:tbl>
    <w:p w14:paraId="5752BC9F" w14:textId="77777777" w:rsidR="000B662F" w:rsidRDefault="000B662F" w:rsidP="000B662F">
      <w:pPr>
        <w:pStyle w:val="Heading3"/>
      </w:pPr>
      <w:r>
        <w:t>Dextroamphetamines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674BFA47" w14:textId="77777777" w:rsidTr="00BE292A">
        <w:trPr>
          <w:cantSplit/>
          <w:trHeight w:val="288"/>
          <w:tblHeader/>
        </w:trPr>
        <w:tc>
          <w:tcPr>
            <w:tcW w:w="3590" w:type="dxa"/>
            <w:vAlign w:val="center"/>
          </w:tcPr>
          <w:p w14:paraId="1C1B16AD" w14:textId="77777777" w:rsidR="000B662F" w:rsidRPr="00CB01E1" w:rsidRDefault="000B662F" w:rsidP="00BE292A">
            <w:pPr>
              <w:pStyle w:val="TableHeader"/>
            </w:pPr>
            <w:r w:rsidRPr="00CB01E1">
              <w:t>Brand Name</w:t>
            </w:r>
          </w:p>
        </w:tc>
        <w:tc>
          <w:tcPr>
            <w:tcW w:w="3590" w:type="dxa"/>
            <w:vAlign w:val="center"/>
          </w:tcPr>
          <w:p w14:paraId="5641A870" w14:textId="77777777" w:rsidR="000B662F" w:rsidRPr="00CB01E1" w:rsidRDefault="000B662F" w:rsidP="00BE292A">
            <w:pPr>
              <w:pStyle w:val="TableHeader"/>
            </w:pPr>
            <w:r w:rsidRPr="00CB01E1">
              <w:t>Generic Name</w:t>
            </w:r>
          </w:p>
        </w:tc>
        <w:tc>
          <w:tcPr>
            <w:tcW w:w="3590" w:type="dxa"/>
          </w:tcPr>
          <w:p w14:paraId="2FE7B65E" w14:textId="77777777" w:rsidR="000B662F" w:rsidRPr="00CB01E1" w:rsidRDefault="000B662F" w:rsidP="00BE292A">
            <w:pPr>
              <w:pStyle w:val="TableHeader"/>
            </w:pPr>
            <w:r>
              <w:t>Dosage Form</w:t>
            </w:r>
          </w:p>
        </w:tc>
      </w:tr>
      <w:tr w:rsidR="000B662F" w:rsidRPr="00CB01E1" w14:paraId="35EF4334" w14:textId="77777777" w:rsidTr="00BE292A">
        <w:trPr>
          <w:cantSplit/>
        </w:trPr>
        <w:tc>
          <w:tcPr>
            <w:tcW w:w="3590" w:type="dxa"/>
          </w:tcPr>
          <w:p w14:paraId="68CD7698" w14:textId="77777777" w:rsidR="000B662F" w:rsidRPr="00CB01E1" w:rsidRDefault="000B662F" w:rsidP="00BE292A">
            <w:pPr>
              <w:pStyle w:val="BodyText"/>
              <w:spacing w:after="0"/>
            </w:pPr>
            <w:r w:rsidRPr="00CB01E1">
              <w:t>Dexedrine</w:t>
            </w:r>
          </w:p>
        </w:tc>
        <w:tc>
          <w:tcPr>
            <w:tcW w:w="3590" w:type="dxa"/>
          </w:tcPr>
          <w:p w14:paraId="2D4B8847" w14:textId="77777777" w:rsidR="000B662F" w:rsidRPr="00CB01E1" w:rsidRDefault="000B662F" w:rsidP="00BE292A">
            <w:pPr>
              <w:pStyle w:val="BodyText"/>
              <w:spacing w:after="0"/>
            </w:pPr>
            <w:r w:rsidRPr="00CB01E1">
              <w:t>dextroamphetamine</w:t>
            </w:r>
          </w:p>
        </w:tc>
        <w:tc>
          <w:tcPr>
            <w:tcW w:w="3590" w:type="dxa"/>
          </w:tcPr>
          <w:p w14:paraId="45B7C437" w14:textId="77777777" w:rsidR="000B662F" w:rsidRPr="00CB01E1" w:rsidRDefault="000B662F" w:rsidP="00BE292A">
            <w:pPr>
              <w:pStyle w:val="BodyText"/>
              <w:spacing w:after="0"/>
            </w:pPr>
            <w:r>
              <w:t>all products</w:t>
            </w:r>
          </w:p>
        </w:tc>
      </w:tr>
      <w:tr w:rsidR="000B662F" w:rsidRPr="00CB01E1" w14:paraId="0931F3CA" w14:textId="6656CC30" w:rsidTr="00BE292A">
        <w:trPr>
          <w:cantSplit/>
        </w:trPr>
        <w:tc>
          <w:tcPr>
            <w:tcW w:w="3590" w:type="dxa"/>
          </w:tcPr>
          <w:p w14:paraId="36F1F7D6" w14:textId="5E1F7BF3" w:rsidR="000B662F" w:rsidRPr="00CB01E1" w:rsidRDefault="000B662F" w:rsidP="00BE292A">
            <w:pPr>
              <w:pStyle w:val="BodyText"/>
              <w:spacing w:after="0"/>
            </w:pPr>
            <w:r>
              <w:t>dextroamphetamine (all other brands)</w:t>
            </w:r>
          </w:p>
        </w:tc>
        <w:tc>
          <w:tcPr>
            <w:tcW w:w="3590" w:type="dxa"/>
          </w:tcPr>
          <w:p w14:paraId="7BBD8D54" w14:textId="359E372F" w:rsidR="000B662F" w:rsidRPr="00CB01E1" w:rsidRDefault="000B662F" w:rsidP="00BE292A">
            <w:pPr>
              <w:pStyle w:val="BodyText"/>
              <w:spacing w:after="0"/>
            </w:pPr>
            <w:r w:rsidRPr="00CB01E1">
              <w:t>dextroamphetamine</w:t>
            </w:r>
          </w:p>
        </w:tc>
        <w:tc>
          <w:tcPr>
            <w:tcW w:w="3590" w:type="dxa"/>
          </w:tcPr>
          <w:p w14:paraId="31E3BF62" w14:textId="542D3BAA" w:rsidR="000B662F" w:rsidRPr="00CB01E1" w:rsidRDefault="000B662F" w:rsidP="00BE292A">
            <w:pPr>
              <w:pStyle w:val="BodyText"/>
              <w:spacing w:after="0"/>
            </w:pPr>
            <w:r>
              <w:t>all products</w:t>
            </w:r>
          </w:p>
        </w:tc>
      </w:tr>
      <w:tr w:rsidR="000B662F" w:rsidRPr="00CB01E1" w14:paraId="206A401E" w14:textId="77777777" w:rsidTr="00BE292A">
        <w:trPr>
          <w:cantSplit/>
        </w:trPr>
        <w:tc>
          <w:tcPr>
            <w:tcW w:w="3590" w:type="dxa"/>
          </w:tcPr>
          <w:p w14:paraId="5C62300C" w14:textId="3C8702C1" w:rsidR="000B662F" w:rsidRPr="00CB01E1" w:rsidRDefault="000B662F" w:rsidP="00BE292A">
            <w:pPr>
              <w:pStyle w:val="BodyText"/>
              <w:spacing w:after="0"/>
            </w:pPr>
            <w:r w:rsidRPr="00CB01E1">
              <w:t>Pro</w:t>
            </w:r>
            <w:r w:rsidR="0081273E">
              <w:t>C</w:t>
            </w:r>
            <w:r w:rsidRPr="00CB01E1">
              <w:t>entra</w:t>
            </w:r>
          </w:p>
        </w:tc>
        <w:tc>
          <w:tcPr>
            <w:tcW w:w="3590" w:type="dxa"/>
          </w:tcPr>
          <w:p w14:paraId="3DDA27E2" w14:textId="77777777" w:rsidR="000B662F" w:rsidRPr="00CB01E1" w:rsidRDefault="000B662F" w:rsidP="00BE292A">
            <w:pPr>
              <w:pStyle w:val="BodyText"/>
              <w:spacing w:after="0"/>
            </w:pPr>
            <w:r w:rsidRPr="00CB01E1">
              <w:t>dextroamphetamine</w:t>
            </w:r>
          </w:p>
        </w:tc>
        <w:tc>
          <w:tcPr>
            <w:tcW w:w="3590" w:type="dxa"/>
          </w:tcPr>
          <w:p w14:paraId="7538D5AD" w14:textId="77777777" w:rsidR="000B662F" w:rsidRPr="00CB01E1" w:rsidRDefault="000B662F" w:rsidP="00BE292A">
            <w:pPr>
              <w:pStyle w:val="BodyText"/>
              <w:spacing w:after="0"/>
            </w:pPr>
            <w:r>
              <w:t>all products</w:t>
            </w:r>
          </w:p>
        </w:tc>
      </w:tr>
      <w:tr w:rsidR="000B662F" w:rsidRPr="00CB01E1" w14:paraId="0F1517E2" w14:textId="77777777" w:rsidTr="00BE292A">
        <w:trPr>
          <w:cantSplit/>
        </w:trPr>
        <w:tc>
          <w:tcPr>
            <w:tcW w:w="3590" w:type="dxa"/>
          </w:tcPr>
          <w:p w14:paraId="272A7287" w14:textId="77777777" w:rsidR="000B662F" w:rsidRPr="00CB01E1" w:rsidRDefault="000B662F" w:rsidP="00BE292A">
            <w:pPr>
              <w:pStyle w:val="BodyText"/>
              <w:spacing w:after="0"/>
            </w:pPr>
            <w:r w:rsidRPr="00CB01E1">
              <w:t>Xelstrym</w:t>
            </w:r>
          </w:p>
        </w:tc>
        <w:tc>
          <w:tcPr>
            <w:tcW w:w="3590" w:type="dxa"/>
          </w:tcPr>
          <w:p w14:paraId="22785E4A" w14:textId="77777777" w:rsidR="000B662F" w:rsidRPr="00CB01E1" w:rsidRDefault="000B662F" w:rsidP="00BE292A">
            <w:pPr>
              <w:pStyle w:val="BodyText"/>
              <w:spacing w:after="0"/>
            </w:pPr>
            <w:r w:rsidRPr="00CB01E1">
              <w:t>dextroamphetamine</w:t>
            </w:r>
          </w:p>
        </w:tc>
        <w:tc>
          <w:tcPr>
            <w:tcW w:w="3590" w:type="dxa"/>
          </w:tcPr>
          <w:p w14:paraId="7EC60E07" w14:textId="77777777" w:rsidR="000B662F" w:rsidRPr="00CB01E1" w:rsidRDefault="000B662F" w:rsidP="00BE292A">
            <w:pPr>
              <w:pStyle w:val="BodyText"/>
              <w:spacing w:after="0"/>
            </w:pPr>
            <w:r>
              <w:t>all products</w:t>
            </w:r>
          </w:p>
        </w:tc>
      </w:tr>
      <w:tr w:rsidR="000B662F" w:rsidRPr="00CB01E1" w14:paraId="566F299B" w14:textId="77777777" w:rsidTr="00BE292A">
        <w:trPr>
          <w:cantSplit/>
        </w:trPr>
        <w:tc>
          <w:tcPr>
            <w:tcW w:w="3590" w:type="dxa"/>
          </w:tcPr>
          <w:p w14:paraId="3741FDF6" w14:textId="77777777" w:rsidR="000B662F" w:rsidRPr="00CB01E1" w:rsidRDefault="000B662F" w:rsidP="00BE292A">
            <w:pPr>
              <w:pStyle w:val="BodyText"/>
              <w:spacing w:after="0"/>
            </w:pPr>
            <w:r w:rsidRPr="00CB01E1">
              <w:t>Zenzedi</w:t>
            </w:r>
          </w:p>
        </w:tc>
        <w:tc>
          <w:tcPr>
            <w:tcW w:w="3590" w:type="dxa"/>
          </w:tcPr>
          <w:p w14:paraId="79B89D6E" w14:textId="77777777" w:rsidR="000B662F" w:rsidRPr="00CB01E1" w:rsidRDefault="000B662F" w:rsidP="00BE292A">
            <w:pPr>
              <w:pStyle w:val="BodyText"/>
              <w:spacing w:after="0"/>
            </w:pPr>
            <w:r w:rsidRPr="00CB01E1">
              <w:t>dextroamphetamine</w:t>
            </w:r>
          </w:p>
        </w:tc>
        <w:tc>
          <w:tcPr>
            <w:tcW w:w="3590" w:type="dxa"/>
          </w:tcPr>
          <w:p w14:paraId="3A7C87B6" w14:textId="77777777" w:rsidR="000B662F" w:rsidRPr="00CB01E1" w:rsidRDefault="000B662F" w:rsidP="00BE292A">
            <w:pPr>
              <w:pStyle w:val="BodyText"/>
              <w:spacing w:after="0"/>
            </w:pPr>
            <w:r>
              <w:t>all products</w:t>
            </w:r>
          </w:p>
        </w:tc>
      </w:tr>
    </w:tbl>
    <w:p w14:paraId="019C0D02" w14:textId="77777777" w:rsidR="000B662F" w:rsidRDefault="000B662F" w:rsidP="000B662F">
      <w:pPr>
        <w:pStyle w:val="Heading3"/>
      </w:pPr>
      <w:r>
        <w:t>Lisdexamfetamines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57DFBDB8" w14:textId="77777777" w:rsidTr="00BE292A">
        <w:trPr>
          <w:cantSplit/>
          <w:trHeight w:val="288"/>
          <w:tblHeader/>
        </w:trPr>
        <w:tc>
          <w:tcPr>
            <w:tcW w:w="3590" w:type="dxa"/>
            <w:vAlign w:val="center"/>
          </w:tcPr>
          <w:p w14:paraId="5AABB634" w14:textId="77777777" w:rsidR="000B662F" w:rsidRPr="00CB01E1" w:rsidRDefault="000B662F" w:rsidP="00BE292A">
            <w:pPr>
              <w:pStyle w:val="TableHeader"/>
            </w:pPr>
            <w:r w:rsidRPr="00CB01E1">
              <w:t>Brand Name</w:t>
            </w:r>
          </w:p>
        </w:tc>
        <w:tc>
          <w:tcPr>
            <w:tcW w:w="3590" w:type="dxa"/>
            <w:vAlign w:val="center"/>
          </w:tcPr>
          <w:p w14:paraId="0879D6BE" w14:textId="77777777" w:rsidR="000B662F" w:rsidRPr="00CB01E1" w:rsidRDefault="000B662F" w:rsidP="00BE292A">
            <w:pPr>
              <w:pStyle w:val="TableHeader"/>
            </w:pPr>
            <w:r w:rsidRPr="00CB01E1">
              <w:t>Generic Name</w:t>
            </w:r>
          </w:p>
        </w:tc>
        <w:tc>
          <w:tcPr>
            <w:tcW w:w="3590" w:type="dxa"/>
          </w:tcPr>
          <w:p w14:paraId="452FDA8A" w14:textId="77777777" w:rsidR="000B662F" w:rsidRPr="00CB01E1" w:rsidRDefault="000B662F" w:rsidP="00BE292A">
            <w:pPr>
              <w:pStyle w:val="TableHeader"/>
            </w:pPr>
            <w:r>
              <w:t>Dosage Form</w:t>
            </w:r>
          </w:p>
        </w:tc>
      </w:tr>
      <w:tr w:rsidR="007C05D2" w:rsidRPr="00CB01E1" w14:paraId="2CA3BCDB" w14:textId="77777777" w:rsidTr="00BE292A">
        <w:trPr>
          <w:cantSplit/>
        </w:trPr>
        <w:tc>
          <w:tcPr>
            <w:tcW w:w="3590" w:type="dxa"/>
          </w:tcPr>
          <w:p w14:paraId="27E10C18" w14:textId="4580BA70" w:rsidR="007C05D2" w:rsidRPr="00CB01E1" w:rsidRDefault="007C05D2" w:rsidP="00BE292A">
            <w:pPr>
              <w:pStyle w:val="BodyText"/>
              <w:spacing w:after="0"/>
            </w:pPr>
            <w:r>
              <w:t>Arynta</w:t>
            </w:r>
          </w:p>
        </w:tc>
        <w:tc>
          <w:tcPr>
            <w:tcW w:w="3590" w:type="dxa"/>
          </w:tcPr>
          <w:p w14:paraId="7F99B574" w14:textId="451A855B" w:rsidR="007C05D2" w:rsidRPr="00CB01E1" w:rsidRDefault="007C05D2" w:rsidP="00BE292A">
            <w:pPr>
              <w:pStyle w:val="BodyText"/>
              <w:spacing w:after="0"/>
            </w:pPr>
            <w:r>
              <w:t>lisdexamfetamine</w:t>
            </w:r>
          </w:p>
        </w:tc>
        <w:tc>
          <w:tcPr>
            <w:tcW w:w="3590" w:type="dxa"/>
          </w:tcPr>
          <w:p w14:paraId="46D320F2" w14:textId="5E206D89" w:rsidR="007C05D2" w:rsidRDefault="007C05D2" w:rsidP="00BE292A">
            <w:pPr>
              <w:pStyle w:val="BodyText"/>
              <w:spacing w:after="0"/>
            </w:pPr>
            <w:r>
              <w:t>all products</w:t>
            </w:r>
          </w:p>
        </w:tc>
      </w:tr>
      <w:tr w:rsidR="000B662F" w:rsidRPr="00CB01E1" w14:paraId="40D8626F" w14:textId="77777777" w:rsidTr="00BE292A">
        <w:trPr>
          <w:cantSplit/>
        </w:trPr>
        <w:tc>
          <w:tcPr>
            <w:tcW w:w="3590" w:type="dxa"/>
          </w:tcPr>
          <w:p w14:paraId="3D7E10AA" w14:textId="77777777" w:rsidR="000B662F" w:rsidRPr="00CB01E1" w:rsidRDefault="000B662F" w:rsidP="00BE292A">
            <w:pPr>
              <w:pStyle w:val="BodyText"/>
              <w:spacing w:after="0"/>
            </w:pPr>
            <w:r w:rsidRPr="00CB01E1">
              <w:t>Vyvanse</w:t>
            </w:r>
          </w:p>
        </w:tc>
        <w:tc>
          <w:tcPr>
            <w:tcW w:w="3590" w:type="dxa"/>
          </w:tcPr>
          <w:p w14:paraId="285214EA" w14:textId="77777777" w:rsidR="000B662F" w:rsidRPr="00CB01E1" w:rsidRDefault="000B662F" w:rsidP="00BE292A">
            <w:pPr>
              <w:pStyle w:val="BodyText"/>
              <w:spacing w:after="0"/>
            </w:pPr>
            <w:r w:rsidRPr="00CB01E1">
              <w:t>lisdexamfetamine</w:t>
            </w:r>
          </w:p>
        </w:tc>
        <w:tc>
          <w:tcPr>
            <w:tcW w:w="3590" w:type="dxa"/>
          </w:tcPr>
          <w:p w14:paraId="6FF90F99" w14:textId="77777777" w:rsidR="000B662F" w:rsidRPr="00CB01E1" w:rsidRDefault="000B662F" w:rsidP="00BE292A">
            <w:pPr>
              <w:pStyle w:val="BodyText"/>
              <w:spacing w:after="0"/>
            </w:pPr>
            <w:r>
              <w:t>all products</w:t>
            </w:r>
          </w:p>
        </w:tc>
      </w:tr>
    </w:tbl>
    <w:p w14:paraId="48450DEC" w14:textId="77777777" w:rsidR="000B662F" w:rsidRDefault="000B662F" w:rsidP="000B662F">
      <w:pPr>
        <w:pStyle w:val="Heading3"/>
      </w:pPr>
      <w:r>
        <w:t>Methamphetamines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5DC9C265" w14:textId="77777777" w:rsidTr="00BE292A">
        <w:trPr>
          <w:cantSplit/>
          <w:trHeight w:val="288"/>
          <w:tblHeader/>
        </w:trPr>
        <w:tc>
          <w:tcPr>
            <w:tcW w:w="3590" w:type="dxa"/>
            <w:vAlign w:val="center"/>
          </w:tcPr>
          <w:p w14:paraId="1C33E928" w14:textId="77777777" w:rsidR="000B662F" w:rsidRPr="00CB01E1" w:rsidRDefault="000B662F" w:rsidP="00BE292A">
            <w:pPr>
              <w:pStyle w:val="TableHeader"/>
            </w:pPr>
            <w:r w:rsidRPr="00CB01E1">
              <w:t>Brand Name</w:t>
            </w:r>
          </w:p>
        </w:tc>
        <w:tc>
          <w:tcPr>
            <w:tcW w:w="3590" w:type="dxa"/>
            <w:vAlign w:val="center"/>
          </w:tcPr>
          <w:p w14:paraId="0E8475E1" w14:textId="77777777" w:rsidR="000B662F" w:rsidRPr="00CB01E1" w:rsidRDefault="000B662F" w:rsidP="00BE292A">
            <w:pPr>
              <w:pStyle w:val="TableHeader"/>
            </w:pPr>
            <w:r w:rsidRPr="00CB01E1">
              <w:t>Generic Name</w:t>
            </w:r>
          </w:p>
        </w:tc>
        <w:tc>
          <w:tcPr>
            <w:tcW w:w="3590" w:type="dxa"/>
          </w:tcPr>
          <w:p w14:paraId="0AAB041F" w14:textId="77777777" w:rsidR="000B662F" w:rsidRPr="00CB01E1" w:rsidRDefault="000B662F" w:rsidP="00BE292A">
            <w:pPr>
              <w:pStyle w:val="TableHeader"/>
            </w:pPr>
            <w:r>
              <w:t>Dosage Form</w:t>
            </w:r>
          </w:p>
        </w:tc>
      </w:tr>
      <w:tr w:rsidR="000B662F" w:rsidRPr="00CB01E1" w14:paraId="7EE06739" w14:textId="77777777" w:rsidTr="00BE292A">
        <w:trPr>
          <w:cantSplit/>
        </w:trPr>
        <w:tc>
          <w:tcPr>
            <w:tcW w:w="3590" w:type="dxa"/>
          </w:tcPr>
          <w:p w14:paraId="2033922E" w14:textId="77777777" w:rsidR="000B662F" w:rsidRPr="00CB01E1" w:rsidRDefault="000B662F" w:rsidP="00BE292A">
            <w:pPr>
              <w:pStyle w:val="BodyText"/>
              <w:spacing w:after="0"/>
            </w:pPr>
            <w:r w:rsidRPr="00CB01E1">
              <w:t>Desoxyn</w:t>
            </w:r>
          </w:p>
        </w:tc>
        <w:tc>
          <w:tcPr>
            <w:tcW w:w="3590" w:type="dxa"/>
          </w:tcPr>
          <w:p w14:paraId="757BC15B" w14:textId="77777777" w:rsidR="000B662F" w:rsidRPr="00CB01E1" w:rsidRDefault="000B662F" w:rsidP="00BE292A">
            <w:pPr>
              <w:pStyle w:val="BodyText"/>
              <w:spacing w:after="0"/>
            </w:pPr>
            <w:r w:rsidRPr="00CB01E1">
              <w:t>methamphetamine</w:t>
            </w:r>
          </w:p>
        </w:tc>
        <w:tc>
          <w:tcPr>
            <w:tcW w:w="3590" w:type="dxa"/>
          </w:tcPr>
          <w:p w14:paraId="27B5A750" w14:textId="77777777" w:rsidR="000B662F" w:rsidRPr="00CB01E1" w:rsidRDefault="000B662F" w:rsidP="00BE292A">
            <w:pPr>
              <w:pStyle w:val="BodyText"/>
              <w:spacing w:after="0"/>
            </w:pPr>
            <w:r>
              <w:t>all products</w:t>
            </w:r>
          </w:p>
        </w:tc>
      </w:tr>
    </w:tbl>
    <w:p w14:paraId="01E4FAA2" w14:textId="77777777" w:rsidR="000B662F" w:rsidRDefault="000B662F" w:rsidP="000B662F">
      <w:pPr>
        <w:pStyle w:val="Heading3"/>
      </w:pPr>
      <w:r>
        <w:t>Methylphenidates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0071E9E0" w14:textId="77777777" w:rsidTr="00BE292A">
        <w:trPr>
          <w:cantSplit/>
          <w:trHeight w:val="288"/>
          <w:tblHeader/>
        </w:trPr>
        <w:tc>
          <w:tcPr>
            <w:tcW w:w="3590" w:type="dxa"/>
            <w:vAlign w:val="center"/>
          </w:tcPr>
          <w:p w14:paraId="486FD552" w14:textId="77777777" w:rsidR="000B662F" w:rsidRPr="00CB01E1" w:rsidRDefault="000B662F" w:rsidP="00BE292A">
            <w:pPr>
              <w:pStyle w:val="TableHeader"/>
            </w:pPr>
            <w:r w:rsidRPr="00CB01E1">
              <w:t>Brand Name</w:t>
            </w:r>
          </w:p>
        </w:tc>
        <w:tc>
          <w:tcPr>
            <w:tcW w:w="3590" w:type="dxa"/>
            <w:vAlign w:val="center"/>
          </w:tcPr>
          <w:p w14:paraId="055774AD" w14:textId="77777777" w:rsidR="000B662F" w:rsidRPr="00CB01E1" w:rsidRDefault="000B662F" w:rsidP="00BE292A">
            <w:pPr>
              <w:pStyle w:val="TableHeader"/>
            </w:pPr>
            <w:r w:rsidRPr="00CB01E1">
              <w:t>Generic Name</w:t>
            </w:r>
          </w:p>
        </w:tc>
        <w:tc>
          <w:tcPr>
            <w:tcW w:w="3590" w:type="dxa"/>
          </w:tcPr>
          <w:p w14:paraId="0723B8B7" w14:textId="77777777" w:rsidR="000B662F" w:rsidRPr="00CB01E1" w:rsidRDefault="000B662F" w:rsidP="00BE292A">
            <w:pPr>
              <w:pStyle w:val="TableHeader"/>
            </w:pPr>
            <w:r>
              <w:t>Dosage Form</w:t>
            </w:r>
          </w:p>
        </w:tc>
      </w:tr>
      <w:tr w:rsidR="000B662F" w:rsidRPr="00CB01E1" w14:paraId="6CDE637E" w14:textId="5347F7A0" w:rsidTr="00BE292A">
        <w:trPr>
          <w:cantSplit/>
        </w:trPr>
        <w:tc>
          <w:tcPr>
            <w:tcW w:w="3590" w:type="dxa"/>
          </w:tcPr>
          <w:p w14:paraId="2D25DBFE" w14:textId="58049D72" w:rsidR="000B662F" w:rsidRPr="00CB01E1" w:rsidRDefault="000B662F" w:rsidP="00BE292A">
            <w:pPr>
              <w:pStyle w:val="BodyText"/>
              <w:spacing w:after="0"/>
            </w:pPr>
            <w:r w:rsidRPr="00CB01E1">
              <w:t>Aptensio</w:t>
            </w:r>
          </w:p>
        </w:tc>
        <w:tc>
          <w:tcPr>
            <w:tcW w:w="3590" w:type="dxa"/>
          </w:tcPr>
          <w:p w14:paraId="207559CC" w14:textId="1170B3D1" w:rsidR="000B662F" w:rsidRPr="00CB01E1" w:rsidRDefault="000B662F" w:rsidP="00BE292A">
            <w:pPr>
              <w:pStyle w:val="BodyText"/>
              <w:spacing w:after="0"/>
            </w:pPr>
            <w:r w:rsidRPr="00CB01E1">
              <w:t>methylphenidate</w:t>
            </w:r>
          </w:p>
        </w:tc>
        <w:tc>
          <w:tcPr>
            <w:tcW w:w="3590" w:type="dxa"/>
          </w:tcPr>
          <w:p w14:paraId="5102A0C4" w14:textId="76D48D91" w:rsidR="000B662F" w:rsidRPr="00CB01E1" w:rsidRDefault="000B662F" w:rsidP="00BE292A">
            <w:pPr>
              <w:pStyle w:val="BodyText"/>
              <w:spacing w:after="0"/>
            </w:pPr>
            <w:r>
              <w:t>all products</w:t>
            </w:r>
          </w:p>
        </w:tc>
      </w:tr>
      <w:tr w:rsidR="000B662F" w:rsidRPr="00CB01E1" w14:paraId="04D9F1C2" w14:textId="77777777" w:rsidTr="00BE292A">
        <w:trPr>
          <w:cantSplit/>
        </w:trPr>
        <w:tc>
          <w:tcPr>
            <w:tcW w:w="3590" w:type="dxa"/>
          </w:tcPr>
          <w:p w14:paraId="2A9BCAAB" w14:textId="77777777" w:rsidR="000B662F" w:rsidRPr="00CB01E1" w:rsidRDefault="000B662F" w:rsidP="00BE292A">
            <w:pPr>
              <w:pStyle w:val="BodyText"/>
              <w:spacing w:after="0"/>
            </w:pPr>
            <w:r w:rsidRPr="00CB01E1">
              <w:t>Concerta</w:t>
            </w:r>
          </w:p>
        </w:tc>
        <w:tc>
          <w:tcPr>
            <w:tcW w:w="3590" w:type="dxa"/>
          </w:tcPr>
          <w:p w14:paraId="35BAB932" w14:textId="77777777" w:rsidR="000B662F" w:rsidRPr="00CB01E1" w:rsidRDefault="000B662F" w:rsidP="00BE292A">
            <w:pPr>
              <w:pStyle w:val="BodyText"/>
              <w:spacing w:after="0"/>
            </w:pPr>
            <w:r w:rsidRPr="00CB01E1">
              <w:t>methylphenidate</w:t>
            </w:r>
          </w:p>
        </w:tc>
        <w:tc>
          <w:tcPr>
            <w:tcW w:w="3590" w:type="dxa"/>
          </w:tcPr>
          <w:p w14:paraId="575F7A0C" w14:textId="77777777" w:rsidR="000B662F" w:rsidRPr="00CB01E1" w:rsidRDefault="000B662F" w:rsidP="00BE292A">
            <w:pPr>
              <w:pStyle w:val="BodyText"/>
              <w:spacing w:after="0"/>
            </w:pPr>
            <w:r>
              <w:t>all products</w:t>
            </w:r>
          </w:p>
        </w:tc>
      </w:tr>
      <w:tr w:rsidR="000B662F" w:rsidRPr="00CB01E1" w14:paraId="76FC1B99" w14:textId="77777777" w:rsidTr="00BE292A">
        <w:trPr>
          <w:cantSplit/>
        </w:trPr>
        <w:tc>
          <w:tcPr>
            <w:tcW w:w="3590" w:type="dxa"/>
          </w:tcPr>
          <w:p w14:paraId="381C5952" w14:textId="77777777" w:rsidR="000B662F" w:rsidRPr="00CB01E1" w:rsidRDefault="000B662F" w:rsidP="00BE292A">
            <w:pPr>
              <w:pStyle w:val="BodyText"/>
              <w:spacing w:after="0"/>
            </w:pPr>
            <w:r w:rsidRPr="00CB01E1">
              <w:t>Cotempla</w:t>
            </w:r>
          </w:p>
        </w:tc>
        <w:tc>
          <w:tcPr>
            <w:tcW w:w="3590" w:type="dxa"/>
          </w:tcPr>
          <w:p w14:paraId="329B8152" w14:textId="77777777" w:rsidR="000B662F" w:rsidRPr="00CB01E1" w:rsidRDefault="000B662F" w:rsidP="00BE292A">
            <w:pPr>
              <w:pStyle w:val="BodyText"/>
              <w:spacing w:after="0"/>
            </w:pPr>
            <w:r w:rsidRPr="00CB01E1">
              <w:t>methylphenidate</w:t>
            </w:r>
          </w:p>
        </w:tc>
        <w:tc>
          <w:tcPr>
            <w:tcW w:w="3590" w:type="dxa"/>
          </w:tcPr>
          <w:p w14:paraId="12BCFB29" w14:textId="77777777" w:rsidR="000B662F" w:rsidRPr="00CB01E1" w:rsidRDefault="000B662F" w:rsidP="00BE292A">
            <w:pPr>
              <w:pStyle w:val="BodyText"/>
              <w:spacing w:after="0"/>
            </w:pPr>
            <w:r>
              <w:t>all products</w:t>
            </w:r>
          </w:p>
        </w:tc>
      </w:tr>
      <w:tr w:rsidR="000B662F" w:rsidRPr="00CB01E1" w14:paraId="2C10B209" w14:textId="77777777" w:rsidTr="00BE292A">
        <w:trPr>
          <w:cantSplit/>
        </w:trPr>
        <w:tc>
          <w:tcPr>
            <w:tcW w:w="3590" w:type="dxa"/>
          </w:tcPr>
          <w:p w14:paraId="40BBB644" w14:textId="77777777" w:rsidR="000B662F" w:rsidRPr="00CB01E1" w:rsidRDefault="000B662F" w:rsidP="00BE292A">
            <w:pPr>
              <w:pStyle w:val="BodyText"/>
              <w:spacing w:after="0"/>
            </w:pPr>
            <w:r w:rsidRPr="00CB01E1">
              <w:t>Daytrana</w:t>
            </w:r>
          </w:p>
        </w:tc>
        <w:tc>
          <w:tcPr>
            <w:tcW w:w="3590" w:type="dxa"/>
          </w:tcPr>
          <w:p w14:paraId="7C4C27F0" w14:textId="77777777" w:rsidR="000B662F" w:rsidRPr="00CB01E1" w:rsidRDefault="000B662F" w:rsidP="00BE292A">
            <w:pPr>
              <w:pStyle w:val="BodyText"/>
              <w:spacing w:after="0"/>
            </w:pPr>
            <w:r w:rsidRPr="00CB01E1">
              <w:t>methylphenidate</w:t>
            </w:r>
          </w:p>
        </w:tc>
        <w:tc>
          <w:tcPr>
            <w:tcW w:w="3590" w:type="dxa"/>
          </w:tcPr>
          <w:p w14:paraId="10A52F35" w14:textId="77777777" w:rsidR="000B662F" w:rsidRPr="00CB01E1" w:rsidRDefault="000B662F" w:rsidP="00BE292A">
            <w:pPr>
              <w:pStyle w:val="BodyText"/>
              <w:spacing w:after="0"/>
            </w:pPr>
            <w:r>
              <w:t>all products</w:t>
            </w:r>
          </w:p>
        </w:tc>
      </w:tr>
      <w:tr w:rsidR="000B662F" w:rsidRPr="00CB01E1" w14:paraId="39069B53" w14:textId="77777777" w:rsidTr="00BE292A">
        <w:trPr>
          <w:cantSplit/>
        </w:trPr>
        <w:tc>
          <w:tcPr>
            <w:tcW w:w="3590" w:type="dxa"/>
          </w:tcPr>
          <w:p w14:paraId="178ADC70" w14:textId="77777777" w:rsidR="000B662F" w:rsidRPr="00CB01E1" w:rsidRDefault="000B662F" w:rsidP="00BE292A">
            <w:pPr>
              <w:pStyle w:val="BodyText"/>
              <w:spacing w:after="0"/>
            </w:pPr>
            <w:r w:rsidRPr="00CB01E1">
              <w:t>Jornay</w:t>
            </w:r>
          </w:p>
        </w:tc>
        <w:tc>
          <w:tcPr>
            <w:tcW w:w="3590" w:type="dxa"/>
          </w:tcPr>
          <w:p w14:paraId="45376E02" w14:textId="77777777" w:rsidR="000B662F" w:rsidRPr="00CB01E1" w:rsidRDefault="000B662F" w:rsidP="00BE292A">
            <w:pPr>
              <w:pStyle w:val="BodyText"/>
              <w:spacing w:after="0"/>
            </w:pPr>
            <w:r w:rsidRPr="00CB01E1">
              <w:t>methylphenidate</w:t>
            </w:r>
          </w:p>
        </w:tc>
        <w:tc>
          <w:tcPr>
            <w:tcW w:w="3590" w:type="dxa"/>
          </w:tcPr>
          <w:p w14:paraId="7A841AD7" w14:textId="77777777" w:rsidR="000B662F" w:rsidRPr="00CB01E1" w:rsidRDefault="000B662F" w:rsidP="00BE292A">
            <w:pPr>
              <w:pStyle w:val="BodyText"/>
              <w:spacing w:after="0"/>
            </w:pPr>
            <w:r>
              <w:t>all products</w:t>
            </w:r>
          </w:p>
        </w:tc>
      </w:tr>
      <w:tr w:rsidR="000B662F" w:rsidRPr="00CB01E1" w14:paraId="0C4F30AD" w14:textId="77777777" w:rsidTr="00BE292A">
        <w:trPr>
          <w:cantSplit/>
        </w:trPr>
        <w:tc>
          <w:tcPr>
            <w:tcW w:w="3590" w:type="dxa"/>
          </w:tcPr>
          <w:p w14:paraId="4D818450" w14:textId="77777777" w:rsidR="000B662F" w:rsidRPr="00CB01E1" w:rsidRDefault="000B662F" w:rsidP="00BE292A">
            <w:pPr>
              <w:pStyle w:val="BodyText"/>
              <w:spacing w:after="0"/>
            </w:pPr>
            <w:r>
              <w:t>Metadate</w:t>
            </w:r>
          </w:p>
        </w:tc>
        <w:tc>
          <w:tcPr>
            <w:tcW w:w="3590" w:type="dxa"/>
          </w:tcPr>
          <w:p w14:paraId="7CBDBDA3" w14:textId="22817D42" w:rsidR="000B662F" w:rsidRPr="00CB01E1" w:rsidRDefault="00AD2B05" w:rsidP="00BE292A">
            <w:pPr>
              <w:pStyle w:val="BodyText"/>
              <w:spacing w:after="0"/>
            </w:pPr>
            <w:r>
              <w:t>m</w:t>
            </w:r>
            <w:r w:rsidR="000B662F">
              <w:t>ethylphenidate</w:t>
            </w:r>
          </w:p>
        </w:tc>
        <w:tc>
          <w:tcPr>
            <w:tcW w:w="3590" w:type="dxa"/>
          </w:tcPr>
          <w:p w14:paraId="1621087C" w14:textId="77777777" w:rsidR="000B662F" w:rsidRDefault="000B662F" w:rsidP="00BE292A">
            <w:pPr>
              <w:pStyle w:val="BodyText"/>
              <w:spacing w:after="0"/>
            </w:pPr>
            <w:r>
              <w:t>all products</w:t>
            </w:r>
          </w:p>
        </w:tc>
      </w:tr>
      <w:tr w:rsidR="000B662F" w:rsidRPr="00CB01E1" w14:paraId="7A8284D5" w14:textId="77777777" w:rsidTr="00BE292A">
        <w:trPr>
          <w:cantSplit/>
        </w:trPr>
        <w:tc>
          <w:tcPr>
            <w:tcW w:w="3590" w:type="dxa"/>
          </w:tcPr>
          <w:p w14:paraId="550B1618" w14:textId="77777777" w:rsidR="000B662F" w:rsidRPr="00CB01E1" w:rsidRDefault="000B662F" w:rsidP="00BE292A">
            <w:pPr>
              <w:pStyle w:val="BodyText"/>
              <w:spacing w:after="0"/>
            </w:pPr>
            <w:r w:rsidRPr="00CB01E1">
              <w:t>Methylin</w:t>
            </w:r>
          </w:p>
        </w:tc>
        <w:tc>
          <w:tcPr>
            <w:tcW w:w="3590" w:type="dxa"/>
          </w:tcPr>
          <w:p w14:paraId="255B67DE" w14:textId="77777777" w:rsidR="000B662F" w:rsidRPr="00CB01E1" w:rsidRDefault="000B662F" w:rsidP="00BE292A">
            <w:pPr>
              <w:pStyle w:val="BodyText"/>
              <w:spacing w:after="0"/>
            </w:pPr>
            <w:r w:rsidRPr="00CB01E1">
              <w:t>methylphenidate</w:t>
            </w:r>
          </w:p>
        </w:tc>
        <w:tc>
          <w:tcPr>
            <w:tcW w:w="3590" w:type="dxa"/>
          </w:tcPr>
          <w:p w14:paraId="3EAC7EA0" w14:textId="77777777" w:rsidR="000B662F" w:rsidRPr="00CB01E1" w:rsidRDefault="000B662F" w:rsidP="00BE292A">
            <w:pPr>
              <w:pStyle w:val="BodyText"/>
              <w:spacing w:after="0"/>
            </w:pPr>
            <w:r>
              <w:t>all products</w:t>
            </w:r>
          </w:p>
        </w:tc>
      </w:tr>
      <w:tr w:rsidR="000B662F" w:rsidRPr="00CB01E1" w14:paraId="461C042A" w14:textId="77777777" w:rsidTr="00BE292A">
        <w:trPr>
          <w:cantSplit/>
        </w:trPr>
        <w:tc>
          <w:tcPr>
            <w:tcW w:w="3590" w:type="dxa"/>
          </w:tcPr>
          <w:p w14:paraId="7C2ECEDE" w14:textId="77777777" w:rsidR="000B662F" w:rsidRPr="00CB01E1" w:rsidRDefault="000B662F" w:rsidP="00BE292A">
            <w:pPr>
              <w:pStyle w:val="BodyText"/>
              <w:spacing w:after="0"/>
            </w:pPr>
            <w:r>
              <w:t>methylphenidate (all other brands)</w:t>
            </w:r>
          </w:p>
        </w:tc>
        <w:tc>
          <w:tcPr>
            <w:tcW w:w="3590" w:type="dxa"/>
          </w:tcPr>
          <w:p w14:paraId="2AC325A4" w14:textId="77777777" w:rsidR="000B662F" w:rsidRPr="00CB01E1" w:rsidRDefault="000B662F" w:rsidP="00BE292A">
            <w:pPr>
              <w:pStyle w:val="BodyText"/>
              <w:spacing w:after="0"/>
            </w:pPr>
            <w:r w:rsidRPr="00CB01E1">
              <w:t>methylphenidate</w:t>
            </w:r>
          </w:p>
        </w:tc>
        <w:tc>
          <w:tcPr>
            <w:tcW w:w="3590" w:type="dxa"/>
          </w:tcPr>
          <w:p w14:paraId="1B87DC52" w14:textId="77777777" w:rsidR="000B662F" w:rsidRPr="00CB01E1" w:rsidRDefault="000B662F" w:rsidP="00BE292A">
            <w:pPr>
              <w:pStyle w:val="BodyText"/>
              <w:spacing w:after="0"/>
            </w:pPr>
            <w:r>
              <w:t>all products</w:t>
            </w:r>
          </w:p>
        </w:tc>
      </w:tr>
      <w:tr w:rsidR="000B662F" w:rsidRPr="00CB01E1" w14:paraId="0E0620C3" w14:textId="77777777" w:rsidTr="00BE292A">
        <w:trPr>
          <w:cantSplit/>
        </w:trPr>
        <w:tc>
          <w:tcPr>
            <w:tcW w:w="3590" w:type="dxa"/>
          </w:tcPr>
          <w:p w14:paraId="3BD898F3" w14:textId="5CAF09F7" w:rsidR="000B662F" w:rsidRPr="00CB01E1" w:rsidRDefault="000B662F" w:rsidP="00BE292A">
            <w:pPr>
              <w:pStyle w:val="BodyText"/>
              <w:spacing w:after="0"/>
            </w:pPr>
            <w:r w:rsidRPr="00CB01E1">
              <w:t>Quilli</w:t>
            </w:r>
            <w:r w:rsidR="006E3712">
              <w:t>C</w:t>
            </w:r>
            <w:r w:rsidRPr="00CB01E1">
              <w:t>hew</w:t>
            </w:r>
          </w:p>
        </w:tc>
        <w:tc>
          <w:tcPr>
            <w:tcW w:w="3590" w:type="dxa"/>
          </w:tcPr>
          <w:p w14:paraId="7F706602" w14:textId="77777777" w:rsidR="000B662F" w:rsidRPr="00CB01E1" w:rsidRDefault="000B662F" w:rsidP="00BE292A">
            <w:pPr>
              <w:pStyle w:val="BodyText"/>
              <w:spacing w:after="0"/>
            </w:pPr>
            <w:r w:rsidRPr="00CB01E1">
              <w:t>methylphenidate</w:t>
            </w:r>
          </w:p>
        </w:tc>
        <w:tc>
          <w:tcPr>
            <w:tcW w:w="3590" w:type="dxa"/>
          </w:tcPr>
          <w:p w14:paraId="160662B9" w14:textId="77777777" w:rsidR="000B662F" w:rsidRPr="00CB01E1" w:rsidRDefault="000B662F" w:rsidP="00BE292A">
            <w:pPr>
              <w:pStyle w:val="BodyText"/>
              <w:spacing w:after="0"/>
            </w:pPr>
            <w:r>
              <w:t>all products</w:t>
            </w:r>
          </w:p>
        </w:tc>
      </w:tr>
      <w:tr w:rsidR="000B662F" w:rsidRPr="00CB01E1" w14:paraId="17F4F0FB" w14:textId="77777777" w:rsidTr="00BE292A">
        <w:trPr>
          <w:cantSplit/>
        </w:trPr>
        <w:tc>
          <w:tcPr>
            <w:tcW w:w="3590" w:type="dxa"/>
          </w:tcPr>
          <w:p w14:paraId="1C238C3E" w14:textId="77777777" w:rsidR="000B662F" w:rsidRPr="00CB01E1" w:rsidRDefault="000B662F" w:rsidP="00BE292A">
            <w:pPr>
              <w:pStyle w:val="BodyText"/>
              <w:spacing w:after="0"/>
            </w:pPr>
            <w:r w:rsidRPr="00CB01E1">
              <w:t>Quillivant</w:t>
            </w:r>
          </w:p>
        </w:tc>
        <w:tc>
          <w:tcPr>
            <w:tcW w:w="3590" w:type="dxa"/>
          </w:tcPr>
          <w:p w14:paraId="1AC7F13B" w14:textId="77777777" w:rsidR="000B662F" w:rsidRPr="00CB01E1" w:rsidRDefault="000B662F" w:rsidP="00BE292A">
            <w:pPr>
              <w:pStyle w:val="BodyText"/>
              <w:spacing w:after="0"/>
            </w:pPr>
            <w:r w:rsidRPr="00CB01E1">
              <w:t>methylphenidate</w:t>
            </w:r>
          </w:p>
        </w:tc>
        <w:tc>
          <w:tcPr>
            <w:tcW w:w="3590" w:type="dxa"/>
          </w:tcPr>
          <w:p w14:paraId="037E1B96" w14:textId="77777777" w:rsidR="000B662F" w:rsidRPr="00CB01E1" w:rsidRDefault="000B662F" w:rsidP="00BE292A">
            <w:pPr>
              <w:pStyle w:val="BodyText"/>
              <w:spacing w:after="0"/>
            </w:pPr>
            <w:r>
              <w:t>all products</w:t>
            </w:r>
          </w:p>
        </w:tc>
      </w:tr>
      <w:tr w:rsidR="000B662F" w:rsidRPr="00CB01E1" w14:paraId="77980220" w14:textId="77777777" w:rsidTr="00BE292A">
        <w:trPr>
          <w:cantSplit/>
        </w:trPr>
        <w:tc>
          <w:tcPr>
            <w:tcW w:w="3590" w:type="dxa"/>
          </w:tcPr>
          <w:p w14:paraId="2ACD9C76" w14:textId="77777777" w:rsidR="000B662F" w:rsidRPr="00CB01E1" w:rsidRDefault="000B662F" w:rsidP="00BE292A">
            <w:pPr>
              <w:pStyle w:val="BodyText"/>
              <w:spacing w:after="0"/>
            </w:pPr>
            <w:r w:rsidRPr="00CB01E1">
              <w:t>Relexxii</w:t>
            </w:r>
          </w:p>
        </w:tc>
        <w:tc>
          <w:tcPr>
            <w:tcW w:w="3590" w:type="dxa"/>
          </w:tcPr>
          <w:p w14:paraId="2CF81517" w14:textId="77777777" w:rsidR="000B662F" w:rsidRPr="00CB01E1" w:rsidRDefault="000B662F" w:rsidP="00BE292A">
            <w:pPr>
              <w:pStyle w:val="BodyText"/>
              <w:spacing w:after="0"/>
            </w:pPr>
            <w:r w:rsidRPr="00CB01E1">
              <w:t>methylphenidate</w:t>
            </w:r>
          </w:p>
        </w:tc>
        <w:tc>
          <w:tcPr>
            <w:tcW w:w="3590" w:type="dxa"/>
          </w:tcPr>
          <w:p w14:paraId="444DCC00" w14:textId="77777777" w:rsidR="000B662F" w:rsidRPr="00CB01E1" w:rsidRDefault="000B662F" w:rsidP="00BE292A">
            <w:pPr>
              <w:pStyle w:val="BodyText"/>
              <w:spacing w:after="0"/>
            </w:pPr>
            <w:r>
              <w:t>all products</w:t>
            </w:r>
          </w:p>
        </w:tc>
      </w:tr>
      <w:tr w:rsidR="000B662F" w:rsidRPr="00CB01E1" w14:paraId="51445085" w14:textId="77777777" w:rsidTr="00BE292A">
        <w:trPr>
          <w:cantSplit/>
        </w:trPr>
        <w:tc>
          <w:tcPr>
            <w:tcW w:w="3590" w:type="dxa"/>
          </w:tcPr>
          <w:p w14:paraId="1D967592" w14:textId="77777777" w:rsidR="000B662F" w:rsidRPr="00CB01E1" w:rsidRDefault="000B662F" w:rsidP="00BE292A">
            <w:pPr>
              <w:pStyle w:val="BodyText"/>
              <w:spacing w:after="0"/>
            </w:pPr>
            <w:r w:rsidRPr="00CB01E1">
              <w:t>Ritalin</w:t>
            </w:r>
          </w:p>
        </w:tc>
        <w:tc>
          <w:tcPr>
            <w:tcW w:w="3590" w:type="dxa"/>
          </w:tcPr>
          <w:p w14:paraId="302923E7" w14:textId="77777777" w:rsidR="000B662F" w:rsidRPr="00CB01E1" w:rsidRDefault="000B662F" w:rsidP="00BE292A">
            <w:pPr>
              <w:pStyle w:val="BodyText"/>
              <w:spacing w:after="0"/>
            </w:pPr>
            <w:r w:rsidRPr="00CB01E1">
              <w:t>methylphenidate</w:t>
            </w:r>
          </w:p>
        </w:tc>
        <w:tc>
          <w:tcPr>
            <w:tcW w:w="3590" w:type="dxa"/>
          </w:tcPr>
          <w:p w14:paraId="355321CC" w14:textId="77777777" w:rsidR="000B662F" w:rsidRPr="00CB01E1" w:rsidRDefault="000B662F" w:rsidP="00BE292A">
            <w:pPr>
              <w:pStyle w:val="BodyText"/>
              <w:spacing w:after="0"/>
            </w:pPr>
            <w:r>
              <w:t>all products</w:t>
            </w:r>
          </w:p>
        </w:tc>
      </w:tr>
    </w:tbl>
    <w:p w14:paraId="44D1EE1C" w14:textId="77777777" w:rsidR="000B662F" w:rsidRDefault="000B662F" w:rsidP="000B662F">
      <w:pPr>
        <w:pStyle w:val="Heading3"/>
      </w:pPr>
      <w:r>
        <w:t>Selective Norepinephrine Reuptake Inhibitors</w:t>
      </w:r>
    </w:p>
    <w:tbl>
      <w:tblPr>
        <w:tblStyle w:val="TableGrid"/>
        <w:tblW w:w="1077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620" w:firstRow="1" w:lastRow="0" w:firstColumn="0" w:lastColumn="0" w:noHBand="1" w:noVBand="1"/>
      </w:tblPr>
      <w:tblGrid>
        <w:gridCol w:w="3590"/>
        <w:gridCol w:w="3590"/>
        <w:gridCol w:w="3590"/>
      </w:tblGrid>
      <w:tr w:rsidR="000B662F" w:rsidRPr="00CB01E1" w14:paraId="2CB45E79" w14:textId="77777777" w:rsidTr="00BE292A">
        <w:trPr>
          <w:cantSplit/>
          <w:trHeight w:val="288"/>
          <w:tblHeader/>
        </w:trPr>
        <w:tc>
          <w:tcPr>
            <w:tcW w:w="3590" w:type="dxa"/>
            <w:vAlign w:val="center"/>
          </w:tcPr>
          <w:p w14:paraId="44A88250" w14:textId="77777777" w:rsidR="000B662F" w:rsidRPr="00CB01E1" w:rsidRDefault="000B662F" w:rsidP="00BE292A">
            <w:pPr>
              <w:pStyle w:val="TableHeader"/>
            </w:pPr>
            <w:r w:rsidRPr="00CB01E1">
              <w:t>Brand Name</w:t>
            </w:r>
          </w:p>
        </w:tc>
        <w:tc>
          <w:tcPr>
            <w:tcW w:w="3590" w:type="dxa"/>
            <w:vAlign w:val="center"/>
          </w:tcPr>
          <w:p w14:paraId="0F9BFE3F" w14:textId="77777777" w:rsidR="000B662F" w:rsidRPr="00CB01E1" w:rsidRDefault="000B662F" w:rsidP="00BE292A">
            <w:pPr>
              <w:pStyle w:val="TableHeader"/>
            </w:pPr>
            <w:r w:rsidRPr="00CB01E1">
              <w:t>Generic Name</w:t>
            </w:r>
          </w:p>
        </w:tc>
        <w:tc>
          <w:tcPr>
            <w:tcW w:w="3590" w:type="dxa"/>
          </w:tcPr>
          <w:p w14:paraId="6E757FCA" w14:textId="77777777" w:rsidR="000B662F" w:rsidRPr="00CB01E1" w:rsidRDefault="000B662F" w:rsidP="00BE292A">
            <w:pPr>
              <w:pStyle w:val="TableHeader"/>
            </w:pPr>
            <w:r>
              <w:t>Dosage Form</w:t>
            </w:r>
          </w:p>
        </w:tc>
      </w:tr>
      <w:tr w:rsidR="000B662F" w:rsidRPr="00CB01E1" w14:paraId="24A0786C" w14:textId="77777777" w:rsidTr="00BE292A">
        <w:trPr>
          <w:cantSplit/>
        </w:trPr>
        <w:tc>
          <w:tcPr>
            <w:tcW w:w="3590" w:type="dxa"/>
          </w:tcPr>
          <w:p w14:paraId="1E9905A0" w14:textId="77777777" w:rsidR="000B662F" w:rsidRPr="00CB01E1" w:rsidRDefault="000B662F" w:rsidP="00BE292A">
            <w:pPr>
              <w:pStyle w:val="BodyText"/>
              <w:spacing w:after="0"/>
            </w:pPr>
            <w:r w:rsidRPr="00CB01E1">
              <w:t>Qelbree</w:t>
            </w:r>
          </w:p>
        </w:tc>
        <w:tc>
          <w:tcPr>
            <w:tcW w:w="3590" w:type="dxa"/>
          </w:tcPr>
          <w:p w14:paraId="6F799168" w14:textId="77777777" w:rsidR="000B662F" w:rsidRPr="00CB01E1" w:rsidRDefault="000B662F" w:rsidP="00BE292A">
            <w:pPr>
              <w:pStyle w:val="BodyText"/>
              <w:spacing w:after="0"/>
            </w:pPr>
            <w:r w:rsidRPr="00CB01E1">
              <w:t>viloxazine</w:t>
            </w:r>
          </w:p>
        </w:tc>
        <w:tc>
          <w:tcPr>
            <w:tcW w:w="3590" w:type="dxa"/>
          </w:tcPr>
          <w:p w14:paraId="25CC2B29" w14:textId="77777777" w:rsidR="000B662F" w:rsidRPr="00CB01E1" w:rsidRDefault="000B662F" w:rsidP="00BE292A">
            <w:pPr>
              <w:pStyle w:val="BodyText"/>
              <w:spacing w:after="0"/>
            </w:pPr>
            <w:r>
              <w:t>all products</w:t>
            </w:r>
          </w:p>
        </w:tc>
      </w:tr>
      <w:tr w:rsidR="000B662F" w:rsidRPr="00CB01E1" w14:paraId="7788C36C" w14:textId="77777777" w:rsidTr="00BE292A">
        <w:trPr>
          <w:cantSplit/>
        </w:trPr>
        <w:tc>
          <w:tcPr>
            <w:tcW w:w="3590" w:type="dxa"/>
          </w:tcPr>
          <w:p w14:paraId="3B388760" w14:textId="77777777" w:rsidR="000B662F" w:rsidRPr="00CB01E1" w:rsidRDefault="000B662F" w:rsidP="00BE292A">
            <w:pPr>
              <w:pStyle w:val="BodyText"/>
              <w:spacing w:after="0"/>
            </w:pPr>
            <w:r w:rsidRPr="00CB01E1">
              <w:t>Strattera</w:t>
            </w:r>
          </w:p>
        </w:tc>
        <w:tc>
          <w:tcPr>
            <w:tcW w:w="3590" w:type="dxa"/>
          </w:tcPr>
          <w:p w14:paraId="02AE33F0" w14:textId="77777777" w:rsidR="000B662F" w:rsidRPr="00CB01E1" w:rsidRDefault="000B662F" w:rsidP="00BE292A">
            <w:pPr>
              <w:pStyle w:val="BodyText"/>
              <w:spacing w:after="0"/>
            </w:pPr>
            <w:r w:rsidRPr="00CB01E1">
              <w:t>atomoxetine</w:t>
            </w:r>
          </w:p>
        </w:tc>
        <w:tc>
          <w:tcPr>
            <w:tcW w:w="3590" w:type="dxa"/>
          </w:tcPr>
          <w:p w14:paraId="700B2B4B" w14:textId="77777777" w:rsidR="000B662F" w:rsidRPr="00CB01E1" w:rsidRDefault="000B662F" w:rsidP="00BE292A">
            <w:pPr>
              <w:pStyle w:val="BodyText"/>
              <w:spacing w:after="0"/>
            </w:pPr>
            <w:r>
              <w:t>all products</w:t>
            </w:r>
          </w:p>
        </w:tc>
      </w:tr>
    </w:tbl>
    <w:p w14:paraId="14CE6108" w14:textId="2A06A2F5" w:rsidR="00FC1AAD" w:rsidRPr="00A178DB" w:rsidRDefault="008330F0" w:rsidP="008A3B27">
      <w:pPr>
        <w:pStyle w:val="Heading2"/>
      </w:pPr>
      <w:r w:rsidRPr="008A3B27">
        <w:t>Indications</w:t>
      </w:r>
    </w:p>
    <w:p w14:paraId="134B5687" w14:textId="574DAFED" w:rsidR="00ED052F" w:rsidRPr="00A178DB" w:rsidRDefault="00ED052F" w:rsidP="0014555F">
      <w:pPr>
        <w:pStyle w:val="Heading3"/>
      </w:pPr>
      <w:r w:rsidRPr="00A178DB">
        <w:t xml:space="preserve">FDA-approved </w:t>
      </w:r>
      <w:r w:rsidRPr="00B4239A">
        <w:t>Indications</w:t>
      </w:r>
    </w:p>
    <w:p w14:paraId="60343A86" w14:textId="77777777" w:rsidR="009A29FA" w:rsidRPr="00A178DB" w:rsidRDefault="009A29FA" w:rsidP="008F4697">
      <w:pPr>
        <w:pStyle w:val="Heading4"/>
      </w:pPr>
      <w:r w:rsidRPr="00A178DB">
        <w:t>Adderall</w:t>
      </w:r>
    </w:p>
    <w:p w14:paraId="4EB617D2" w14:textId="77777777" w:rsidR="009A29FA" w:rsidRPr="00A178DB" w:rsidRDefault="009A29FA" w:rsidP="0014555F">
      <w:pPr>
        <w:pStyle w:val="BodyText"/>
      </w:pPr>
      <w:r w:rsidRPr="00A178DB">
        <w:t>Adderall is indicated for the treatment of Attention Deficit Hyperactivity Disorder (ADHD) and Narcolepsy.</w:t>
      </w:r>
    </w:p>
    <w:p w14:paraId="74E2CA4B" w14:textId="12B271F9" w:rsidR="009A29FA" w:rsidRPr="00A178DB" w:rsidRDefault="009A29FA" w:rsidP="008F4697">
      <w:pPr>
        <w:pStyle w:val="Heading4"/>
      </w:pPr>
      <w:r w:rsidRPr="00A178DB">
        <w:t>Adderall XR</w:t>
      </w:r>
      <w:r w:rsidR="00B3727B">
        <w:t>, Qelbree</w:t>
      </w:r>
    </w:p>
    <w:p w14:paraId="3B779542" w14:textId="5D47C183" w:rsidR="009A29FA" w:rsidRPr="00A178DB" w:rsidRDefault="00B3727B" w:rsidP="0014555F">
      <w:pPr>
        <w:pStyle w:val="BodyText"/>
      </w:pPr>
      <w:r>
        <w:t>These products are</w:t>
      </w:r>
      <w:r w:rsidR="009A29FA" w:rsidRPr="00A178DB">
        <w:t xml:space="preserve"> indicated for the treatment of </w:t>
      </w:r>
      <w:r w:rsidR="00494E5A">
        <w:t>A</w:t>
      </w:r>
      <w:r w:rsidR="009A29FA" w:rsidRPr="00A178DB">
        <w:t xml:space="preserve">ttention </w:t>
      </w:r>
      <w:r w:rsidR="00494E5A">
        <w:t>D</w:t>
      </w:r>
      <w:r w:rsidR="009A29FA" w:rsidRPr="00A178DB">
        <w:t xml:space="preserve">eficit </w:t>
      </w:r>
      <w:r w:rsidR="00494E5A">
        <w:t>H</w:t>
      </w:r>
      <w:r w:rsidR="009A29FA" w:rsidRPr="00A178DB">
        <w:t xml:space="preserve">yperactivity </w:t>
      </w:r>
      <w:r w:rsidR="00494E5A">
        <w:t>D</w:t>
      </w:r>
      <w:r w:rsidR="009A29FA" w:rsidRPr="00A178DB">
        <w:t>isorder (ADHD) in adults and pediatric patients 6 years and older.</w:t>
      </w:r>
    </w:p>
    <w:p w14:paraId="77E043E7" w14:textId="24D7A731" w:rsidR="009A29FA" w:rsidRPr="008A3B27" w:rsidRDefault="009A29FA" w:rsidP="008F4697">
      <w:pPr>
        <w:pStyle w:val="Heading4"/>
      </w:pPr>
      <w:r w:rsidRPr="008A3B27">
        <w:t>Adzenys XR-ODT, Azstarys, Dyanavel XR, Jornay PM</w:t>
      </w:r>
    </w:p>
    <w:p w14:paraId="7199FF4F" w14:textId="4DF0325B" w:rsidR="009A29FA" w:rsidRPr="00A178DB" w:rsidRDefault="009A29FA" w:rsidP="0014555F">
      <w:pPr>
        <w:pStyle w:val="BodyText"/>
      </w:pPr>
      <w:r w:rsidRPr="00A178DB">
        <w:t>These products are indicated for the treatment of Attention Deficit Hyperactivity Disorder (ADHD) in patients 6 years and older.</w:t>
      </w:r>
    </w:p>
    <w:p w14:paraId="443A064A" w14:textId="77777777" w:rsidR="009A29FA" w:rsidRPr="008A3B27" w:rsidRDefault="009A29FA" w:rsidP="008F4697">
      <w:pPr>
        <w:pStyle w:val="Heading4"/>
      </w:pPr>
      <w:bookmarkStart w:id="0" w:name="OLE_LINK34"/>
      <w:r w:rsidRPr="008A3B27">
        <w:t>Aptensio XR</w:t>
      </w:r>
    </w:p>
    <w:p w14:paraId="0110228C" w14:textId="0035CC29" w:rsidR="009A29FA" w:rsidRPr="00A178DB" w:rsidRDefault="009A29FA" w:rsidP="0014555F">
      <w:pPr>
        <w:pStyle w:val="BodyText"/>
      </w:pPr>
      <w:r w:rsidRPr="00A178DB">
        <w:t>Aptensio XR is indicated for the treatment of Attention Deficit Hyperactivity Disorder (ADHD) in patients 6 years and older.</w:t>
      </w:r>
    </w:p>
    <w:p w14:paraId="630A0A48" w14:textId="7B8CBD20" w:rsidR="009A29FA" w:rsidRPr="008A3B27" w:rsidRDefault="009A29FA" w:rsidP="008A3B27">
      <w:pPr>
        <w:pStyle w:val="Heading5"/>
      </w:pPr>
      <w:r w:rsidRPr="008A3B27">
        <w:t>Limitations of Use</w:t>
      </w:r>
      <w:r w:rsidR="00B716BC">
        <w:t>:</w:t>
      </w:r>
    </w:p>
    <w:p w14:paraId="1339598E" w14:textId="2AE5EDB4" w:rsidR="009A29FA" w:rsidRPr="00A178DB" w:rsidRDefault="009A29FA" w:rsidP="0014555F">
      <w:pPr>
        <w:pStyle w:val="BodyText"/>
      </w:pPr>
      <w:r w:rsidRPr="00A178DB">
        <w:t>Pediatric patients younger than 6 years of age experienced higher plasma exposure than patients 6 years and older at the same dose and high rates of adverse reactions, most notably weight loss.</w:t>
      </w:r>
    </w:p>
    <w:bookmarkEnd w:id="0"/>
    <w:p w14:paraId="19CAE73D" w14:textId="77777777" w:rsidR="00B60C59" w:rsidRPr="00A178DB" w:rsidRDefault="00B60C59" w:rsidP="00B60C59">
      <w:pPr>
        <w:pStyle w:val="Heading4"/>
      </w:pPr>
      <w:r>
        <w:t xml:space="preserve">Arynta, </w:t>
      </w:r>
      <w:r w:rsidRPr="00A178DB">
        <w:t>Vyvanse</w:t>
      </w:r>
    </w:p>
    <w:p w14:paraId="1815C38A" w14:textId="74E61E38" w:rsidR="00B60C59" w:rsidRPr="00A178DB" w:rsidRDefault="003F0D27" w:rsidP="00B60C59">
      <w:pPr>
        <w:autoSpaceDE w:val="0"/>
        <w:autoSpaceDN w:val="0"/>
        <w:adjustRightInd w:val="0"/>
        <w:rPr>
          <w:rFonts w:cs="Arial"/>
        </w:rPr>
      </w:pPr>
      <w:r>
        <w:rPr>
          <w:rFonts w:cs="Arial"/>
        </w:rPr>
        <w:t>These products are</w:t>
      </w:r>
      <w:r w:rsidR="00B60C59" w:rsidRPr="00A178DB">
        <w:rPr>
          <w:rFonts w:cs="Arial"/>
        </w:rPr>
        <w:t xml:space="preserve"> indicated for the treatment of:</w:t>
      </w:r>
    </w:p>
    <w:p w14:paraId="15FB42D7" w14:textId="77777777" w:rsidR="00B60C59" w:rsidRPr="002512D1" w:rsidRDefault="00B60C59" w:rsidP="001F3614">
      <w:pPr>
        <w:pStyle w:val="ListParagraph"/>
        <w:numPr>
          <w:ilvl w:val="0"/>
          <w:numId w:val="43"/>
        </w:numPr>
        <w:ind w:right="0"/>
      </w:pPr>
      <w:r w:rsidRPr="003C5A30">
        <w:t>Attention Deficit Hyperactivity Disorder (ADHD</w:t>
      </w:r>
      <w:r w:rsidRPr="002512D1">
        <w:t>)</w:t>
      </w:r>
      <w:r w:rsidRPr="003C5A30">
        <w:t xml:space="preserve"> in adults and pediatric patients 6 years and older</w:t>
      </w:r>
    </w:p>
    <w:p w14:paraId="633FE8B0" w14:textId="77777777" w:rsidR="00B60C59" w:rsidRPr="002512D1" w:rsidRDefault="00B60C59" w:rsidP="00B60C59">
      <w:pPr>
        <w:pStyle w:val="ListParagraph"/>
        <w:numPr>
          <w:ilvl w:val="0"/>
          <w:numId w:val="43"/>
        </w:numPr>
      </w:pPr>
      <w:r w:rsidRPr="003C5A30">
        <w:t>Moderate to severe binge-eating disorder (BED) in adults</w:t>
      </w:r>
    </w:p>
    <w:p w14:paraId="25CEA170" w14:textId="77777777" w:rsidR="00B60C59" w:rsidRPr="00A178DB" w:rsidRDefault="00B60C59" w:rsidP="00B60C59">
      <w:pPr>
        <w:pStyle w:val="Heading5"/>
      </w:pPr>
      <w:r w:rsidRPr="00A178DB">
        <w:t>Limitations of Use:</w:t>
      </w:r>
    </w:p>
    <w:p w14:paraId="0313FA4B" w14:textId="77777777" w:rsidR="00B60C59" w:rsidRPr="003C5A30" w:rsidRDefault="00B60C59" w:rsidP="00B60C59">
      <w:pPr>
        <w:pStyle w:val="ListParagraph"/>
        <w:numPr>
          <w:ilvl w:val="0"/>
          <w:numId w:val="44"/>
        </w:numPr>
      </w:pPr>
      <w:r w:rsidRPr="003C5A30">
        <w:t>Pediatric patients with ADHD younger than 6 years of age experienced more long-term weight loss than patients 6 years and older.</w:t>
      </w:r>
    </w:p>
    <w:p w14:paraId="3075AFFE" w14:textId="1F94F7D6" w:rsidR="00B60C59" w:rsidRPr="003C5A30" w:rsidRDefault="003F0D27" w:rsidP="00B60C59">
      <w:pPr>
        <w:pStyle w:val="ListParagraph"/>
        <w:numPr>
          <w:ilvl w:val="0"/>
          <w:numId w:val="44"/>
        </w:numPr>
      </w:pPr>
      <w:r>
        <w:t>These products are</w:t>
      </w:r>
      <w:r w:rsidR="00B60C59" w:rsidRPr="003C5A30">
        <w:t xml:space="preserve"> not indicated or recommended for weight loss. Use of other sympathomimetic drugs for weight loss has been associated with serious cardiovascular adverse events. The safety and effectiveness of </w:t>
      </w:r>
      <w:r>
        <w:t>these products</w:t>
      </w:r>
      <w:r w:rsidR="00B60C59" w:rsidRPr="003C5A30">
        <w:t xml:space="preserve"> for the treatment of obesity have not been established.</w:t>
      </w:r>
    </w:p>
    <w:p w14:paraId="5A3C86C3" w14:textId="51DCDDB2" w:rsidR="009A29FA" w:rsidRPr="0014555F" w:rsidRDefault="009A29FA" w:rsidP="008F4697">
      <w:pPr>
        <w:pStyle w:val="Heading4"/>
      </w:pPr>
      <w:r w:rsidRPr="008A3B27">
        <w:t>Concerta</w:t>
      </w:r>
    </w:p>
    <w:p w14:paraId="5F0ADFC6" w14:textId="77777777" w:rsidR="009A29FA" w:rsidRPr="00A178DB" w:rsidRDefault="009A29FA" w:rsidP="0014555F">
      <w:pPr>
        <w:pStyle w:val="BodyText"/>
      </w:pPr>
      <w:r w:rsidRPr="00A178DB">
        <w:t>Concerta is indicated for the treatment of Attention Deficit Hyperactivity Disorder (ADHD) in children 6 years of age and older, adolescents, and adults up to the age of 65.</w:t>
      </w:r>
    </w:p>
    <w:p w14:paraId="517DF41E" w14:textId="4AB510FA" w:rsidR="009A29FA" w:rsidRPr="00A178DB" w:rsidRDefault="009A29FA" w:rsidP="008F4697">
      <w:pPr>
        <w:pStyle w:val="Heading4"/>
      </w:pPr>
      <w:r w:rsidRPr="00A178DB">
        <w:t>Cotempla XR-ODT, Daytrana</w:t>
      </w:r>
      <w:r w:rsidR="00D8509B">
        <w:t>, Evekeo ODT</w:t>
      </w:r>
    </w:p>
    <w:p w14:paraId="680AF325" w14:textId="5D4A964D" w:rsidR="009A29FA" w:rsidRPr="00A178DB" w:rsidRDefault="00D8509B" w:rsidP="00090A9F">
      <w:pPr>
        <w:pStyle w:val="BodyText"/>
      </w:pPr>
      <w:r>
        <w:t>These products are</w:t>
      </w:r>
      <w:r w:rsidR="009A29FA" w:rsidRPr="00A178DB">
        <w:t xml:space="preserve"> indicated for the treatment of Attention Deficit Hyperactivity Disorder (ADHD) in pediatric patients 6 to 17 years of age.</w:t>
      </w:r>
    </w:p>
    <w:p w14:paraId="41DA9444" w14:textId="77777777" w:rsidR="009A29FA" w:rsidRPr="00A178DB" w:rsidRDefault="009A29FA" w:rsidP="008F4697">
      <w:pPr>
        <w:pStyle w:val="Heading4"/>
        <w:rPr>
          <w:b/>
        </w:rPr>
      </w:pPr>
      <w:r w:rsidRPr="00A178DB">
        <w:t>Desoxyn</w:t>
      </w:r>
    </w:p>
    <w:p w14:paraId="7976B956" w14:textId="0A9ACEA1" w:rsidR="009A29FA" w:rsidRPr="00A178DB" w:rsidRDefault="007C2C13" w:rsidP="00090A9F">
      <w:pPr>
        <w:pStyle w:val="BodyText"/>
      </w:pPr>
      <w:r>
        <w:t>Desoxyn is indicated for the treatment of Attention Deficit Hyperactivity Disorder (ADHD) in pediatric patients 6 years o</w:t>
      </w:r>
      <w:r w:rsidR="00380C70">
        <w:t>f</w:t>
      </w:r>
      <w:r>
        <w:t xml:space="preserve"> age and older</w:t>
      </w:r>
      <w:r w:rsidR="009A29FA" w:rsidRPr="00A178DB">
        <w:t>.</w:t>
      </w:r>
    </w:p>
    <w:p w14:paraId="53774807" w14:textId="38EF7BA4" w:rsidR="009A29FA" w:rsidRPr="00A178DB" w:rsidRDefault="009A29FA" w:rsidP="008F4697">
      <w:pPr>
        <w:pStyle w:val="Heading4"/>
      </w:pPr>
      <w:r w:rsidRPr="00A178DB">
        <w:t>Dexedrine Spansule</w:t>
      </w:r>
    </w:p>
    <w:p w14:paraId="221312CE" w14:textId="56671A51" w:rsidR="009A29FA" w:rsidRPr="00A178DB" w:rsidRDefault="009A29FA" w:rsidP="0014555F">
      <w:pPr>
        <w:pStyle w:val="BodyText"/>
      </w:pPr>
      <w:r w:rsidRPr="00A178DB">
        <w:t>Dexedrine is indicated in:</w:t>
      </w:r>
    </w:p>
    <w:p w14:paraId="50C52FA4" w14:textId="77777777" w:rsidR="009A29FA" w:rsidRPr="00A178DB" w:rsidRDefault="009A29FA" w:rsidP="0014555F">
      <w:pPr>
        <w:pStyle w:val="BodyText"/>
        <w:spacing w:after="0"/>
      </w:pPr>
      <w:r w:rsidRPr="00A178DB">
        <w:t>Narcolepsy</w:t>
      </w:r>
    </w:p>
    <w:p w14:paraId="37C1995E" w14:textId="77777777" w:rsidR="009A29FA" w:rsidRPr="00A178DB" w:rsidRDefault="009A29FA" w:rsidP="0014555F">
      <w:pPr>
        <w:pStyle w:val="BodyText"/>
        <w:spacing w:after="0"/>
      </w:pPr>
      <w:r w:rsidRPr="00982ECE">
        <w:t>Attention Deficit Disorder with Hyperactivity</w:t>
      </w:r>
      <w:r w:rsidRPr="00A178DB">
        <w:t xml:space="preserve"> as an integral part of a total treatment program that typically includes other measures (psychological, educational, social) for patients (ages 6 years to 16 years) with this syndrome.</w:t>
      </w:r>
    </w:p>
    <w:p w14:paraId="50FE1D7A" w14:textId="098D2180" w:rsidR="009A29FA" w:rsidRPr="00A178DB" w:rsidDel="005A7602" w:rsidRDefault="009A29FA" w:rsidP="008F4697">
      <w:pPr>
        <w:pStyle w:val="Heading4"/>
      </w:pPr>
      <w:r w:rsidRPr="00A178DB">
        <w:t xml:space="preserve">Dextroamphetamine Sulfate Tablets, </w:t>
      </w:r>
      <w:r w:rsidRPr="00A178DB" w:rsidDel="005A7602">
        <w:t>ProCentra, Zenzedi</w:t>
      </w:r>
    </w:p>
    <w:p w14:paraId="3FBDA936" w14:textId="3C24D5D2" w:rsidR="009A29FA" w:rsidRPr="00A178DB" w:rsidDel="005A7602" w:rsidRDefault="00751E3C" w:rsidP="0014555F">
      <w:pPr>
        <w:pStyle w:val="BodyText"/>
      </w:pPr>
      <w:r>
        <w:t xml:space="preserve">Dextroamphetamine </w:t>
      </w:r>
      <w:r w:rsidR="008E0A47">
        <w:t>S</w:t>
      </w:r>
      <w:r>
        <w:t>ulfate is</w:t>
      </w:r>
      <w:r w:rsidR="009A29FA" w:rsidRPr="00A178DB" w:rsidDel="005A7602">
        <w:t xml:space="preserve"> indicated for:</w:t>
      </w:r>
    </w:p>
    <w:p w14:paraId="6A1158ED" w14:textId="353AF2A2" w:rsidR="009A29FA" w:rsidRPr="00982ECE" w:rsidDel="005A7602" w:rsidRDefault="009A29FA" w:rsidP="0014555F">
      <w:pPr>
        <w:pStyle w:val="BodyText"/>
        <w:numPr>
          <w:ilvl w:val="0"/>
          <w:numId w:val="46"/>
        </w:numPr>
        <w:spacing w:after="0"/>
      </w:pPr>
      <w:r w:rsidRPr="00982ECE" w:rsidDel="005A7602">
        <w:t>Narcolepsy.</w:t>
      </w:r>
    </w:p>
    <w:p w14:paraId="6BA47620" w14:textId="622ADA2D" w:rsidR="009A29FA" w:rsidRPr="00A178DB" w:rsidRDefault="009A29FA" w:rsidP="0014555F">
      <w:pPr>
        <w:pStyle w:val="BodyText"/>
        <w:numPr>
          <w:ilvl w:val="0"/>
          <w:numId w:val="46"/>
        </w:numPr>
        <w:spacing w:after="0"/>
        <w:rPr>
          <w:b/>
        </w:rPr>
      </w:pPr>
      <w:r w:rsidRPr="00982ECE" w:rsidDel="005A7602">
        <w:rPr>
          <w:bCs/>
        </w:rPr>
        <w:t>Attention Deficit Disorder with Hyperactivity</w:t>
      </w:r>
      <w:r w:rsidR="00751E3C">
        <w:rPr>
          <w:bCs/>
        </w:rPr>
        <w:t>,</w:t>
      </w:r>
      <w:r w:rsidRPr="00A178DB" w:rsidDel="005A7602">
        <w:t xml:space="preserve"> </w:t>
      </w:r>
      <w:r w:rsidR="00751E3C">
        <w:t>a</w:t>
      </w:r>
      <w:r w:rsidRPr="00A178DB" w:rsidDel="005A7602">
        <w:t>s an integral part of a total treatment program which typically includes other remedial measures (psychological, educational, social) for a stabilizing effect in pediatric patients (ages 3 to 16 years) with a behavioral syndrome characterized by the following group of developmentally inappropriate symptoms: moderate to severe distractibility, short attention span, hyperactivity, emotional lability, and impulsivity.</w:t>
      </w:r>
    </w:p>
    <w:p w14:paraId="1F54AA94" w14:textId="77777777" w:rsidR="009A29FA" w:rsidRPr="00A178DB" w:rsidRDefault="009A29FA" w:rsidP="008F4697">
      <w:pPr>
        <w:pStyle w:val="Heading4"/>
      </w:pPr>
      <w:r w:rsidRPr="00A178DB">
        <w:t>Evekeo</w:t>
      </w:r>
    </w:p>
    <w:p w14:paraId="0E20BA79" w14:textId="77777777" w:rsidR="009A29FA" w:rsidRPr="00A178DB" w:rsidRDefault="009A29FA" w:rsidP="009A29FA">
      <w:pPr>
        <w:autoSpaceDE w:val="0"/>
        <w:autoSpaceDN w:val="0"/>
        <w:adjustRightInd w:val="0"/>
        <w:rPr>
          <w:rFonts w:cs="Arial"/>
          <w:bCs/>
        </w:rPr>
      </w:pPr>
      <w:bookmarkStart w:id="1" w:name="OLE_LINK9"/>
      <w:r w:rsidRPr="00A178DB">
        <w:rPr>
          <w:rFonts w:cs="Arial"/>
          <w:bCs/>
        </w:rPr>
        <w:t>Evekeo (amphetamine sulfate tablets, USP) is indicated for:</w:t>
      </w:r>
    </w:p>
    <w:p w14:paraId="189E6B1B" w14:textId="77777777" w:rsidR="009A29FA" w:rsidRPr="00982ECE" w:rsidRDefault="009A29FA" w:rsidP="009A29FA">
      <w:pPr>
        <w:pStyle w:val="ListParagraph"/>
        <w:numPr>
          <w:ilvl w:val="0"/>
          <w:numId w:val="27"/>
        </w:numPr>
        <w:autoSpaceDE w:val="0"/>
        <w:autoSpaceDN w:val="0"/>
        <w:adjustRightInd w:val="0"/>
        <w:spacing w:after="0"/>
        <w:ind w:right="0"/>
        <w:textAlignment w:val="auto"/>
        <w:rPr>
          <w:bCs/>
        </w:rPr>
      </w:pPr>
      <w:r w:rsidRPr="00982ECE">
        <w:rPr>
          <w:bCs/>
        </w:rPr>
        <w:t>Narcolepsy</w:t>
      </w:r>
    </w:p>
    <w:p w14:paraId="107FB8AA" w14:textId="77777777" w:rsidR="009A29FA" w:rsidRPr="00A178DB" w:rsidRDefault="009A29FA" w:rsidP="009A29FA">
      <w:pPr>
        <w:pStyle w:val="ListParagraph"/>
        <w:numPr>
          <w:ilvl w:val="0"/>
          <w:numId w:val="27"/>
        </w:numPr>
        <w:autoSpaceDE w:val="0"/>
        <w:autoSpaceDN w:val="0"/>
        <w:adjustRightInd w:val="0"/>
        <w:spacing w:after="0"/>
        <w:ind w:right="0"/>
        <w:textAlignment w:val="auto"/>
        <w:rPr>
          <w:bCs/>
          <w:u w:val="single"/>
        </w:rPr>
      </w:pPr>
      <w:r w:rsidRPr="00982ECE">
        <w:rPr>
          <w:bCs/>
        </w:rPr>
        <w:t xml:space="preserve">Attention Deficit Disorder with Hyperactivity </w:t>
      </w:r>
      <w:r w:rsidRPr="00A178DB">
        <w:rPr>
          <w:bCs/>
        </w:rPr>
        <w:t>as an integral part of a total treatment program which typically includes other remedial measures (psychological, educational, social) for a stabilizing effect in children with behavioral syndrome characterized by the following group of developmentally inappropriate symptoms: moderate to severe distractibility, short attention span, hyperactivity, emotional lability, and impulsivity.</w:t>
      </w:r>
    </w:p>
    <w:bookmarkEnd w:id="1"/>
    <w:p w14:paraId="282C52B5" w14:textId="4B9CA5C0" w:rsidR="009A29FA" w:rsidRPr="00A178DB" w:rsidRDefault="009A29FA" w:rsidP="00A65862">
      <w:pPr>
        <w:pStyle w:val="ListParagraph"/>
        <w:numPr>
          <w:ilvl w:val="0"/>
          <w:numId w:val="27"/>
        </w:numPr>
        <w:autoSpaceDE w:val="0"/>
        <w:autoSpaceDN w:val="0"/>
        <w:adjustRightInd w:val="0"/>
        <w:spacing w:after="120"/>
        <w:ind w:right="0"/>
        <w:textAlignment w:val="auto"/>
        <w:rPr>
          <w:b/>
        </w:rPr>
      </w:pPr>
      <w:r w:rsidRPr="00982ECE">
        <w:rPr>
          <w:bCs/>
        </w:rPr>
        <w:t>Exogenous Obesity</w:t>
      </w:r>
      <w:r w:rsidRPr="00A178DB">
        <w:rPr>
          <w:b/>
          <w:bCs/>
        </w:rPr>
        <w:t xml:space="preserve"> </w:t>
      </w:r>
      <w:r w:rsidRPr="00A178DB">
        <w:t>as a short term (a few weeks) adjunct in a regimen of weight reduction based on caloric restriction for patients refractory to alternative therapy, e.g., repeated diets, group programs, and other drugs. The limited usefulness of amphetamines should be weighed against possible risks inherent in use of the drug.</w:t>
      </w:r>
    </w:p>
    <w:p w14:paraId="1D5A03BF" w14:textId="77777777" w:rsidR="009A29FA" w:rsidRPr="00A178DB" w:rsidRDefault="009A29FA" w:rsidP="008F4697">
      <w:pPr>
        <w:pStyle w:val="Heading4"/>
        <w:rPr>
          <w:lang w:val="fr-FR"/>
        </w:rPr>
      </w:pPr>
      <w:r w:rsidRPr="00A178DB">
        <w:rPr>
          <w:lang w:val="fr-FR"/>
        </w:rPr>
        <w:t>Focalin, Focalin XR, QuilliChew ER, Quillivant XR</w:t>
      </w:r>
    </w:p>
    <w:p w14:paraId="214E7554" w14:textId="77777777" w:rsidR="009A29FA" w:rsidRPr="00A178DB" w:rsidRDefault="009A29FA" w:rsidP="00090A9F">
      <w:pPr>
        <w:pStyle w:val="BodyText"/>
      </w:pPr>
      <w:r w:rsidRPr="00A178DB">
        <w:t>These products are indicated for the treatment of Attention Deficit Hyperactivity Disorder (ADHD).</w:t>
      </w:r>
    </w:p>
    <w:p w14:paraId="358666BD" w14:textId="77777777" w:rsidR="00544721" w:rsidRDefault="00544721" w:rsidP="008F4697">
      <w:pPr>
        <w:pStyle w:val="Heading4"/>
      </w:pPr>
      <w:r>
        <w:t>Metadate CD</w:t>
      </w:r>
    </w:p>
    <w:p w14:paraId="00202EBD" w14:textId="77777777" w:rsidR="00544721" w:rsidRDefault="00544721" w:rsidP="00544721">
      <w:pPr>
        <w:pStyle w:val="BodyText"/>
      </w:pPr>
      <w:r>
        <w:t>Metadate CD is indicated for the treatment of Attention Deficit Hyperactivity Disorder (ADHD) in pediatric patients 6 to 15 years of age.</w:t>
      </w:r>
    </w:p>
    <w:p w14:paraId="15861DAB" w14:textId="77777777" w:rsidR="009A29FA" w:rsidRPr="00A178DB" w:rsidRDefault="009A29FA" w:rsidP="008F4697">
      <w:pPr>
        <w:pStyle w:val="Heading4"/>
      </w:pPr>
      <w:r w:rsidRPr="00A178DB">
        <w:t>Methylin Oral Solution</w:t>
      </w:r>
    </w:p>
    <w:p w14:paraId="552CE3F0" w14:textId="77777777" w:rsidR="009A29FA" w:rsidRPr="00A178DB" w:rsidRDefault="009A29FA" w:rsidP="009A29FA">
      <w:pPr>
        <w:autoSpaceDE w:val="0"/>
        <w:autoSpaceDN w:val="0"/>
        <w:adjustRightInd w:val="0"/>
        <w:rPr>
          <w:rFonts w:cs="Arial"/>
          <w:bCs/>
        </w:rPr>
      </w:pPr>
      <w:r w:rsidRPr="00A178DB">
        <w:rPr>
          <w:rFonts w:cs="Arial"/>
          <w:bCs/>
        </w:rPr>
        <w:t>Methylin is indicated for the treatment of:</w:t>
      </w:r>
    </w:p>
    <w:p w14:paraId="36315E95" w14:textId="77777777" w:rsidR="009A29FA" w:rsidRPr="003C5A30" w:rsidRDefault="009A29FA" w:rsidP="0027619E">
      <w:pPr>
        <w:pStyle w:val="ListParagraph"/>
        <w:numPr>
          <w:ilvl w:val="0"/>
          <w:numId w:val="41"/>
        </w:numPr>
      </w:pPr>
      <w:r w:rsidRPr="003C5A30">
        <w:t>Attention Deficit Hyperactivity Disorder (ADHD) in adults and pediatric patients 6 years of age and older</w:t>
      </w:r>
    </w:p>
    <w:p w14:paraId="4DB6C676" w14:textId="583CB77B" w:rsidR="009A29FA" w:rsidRPr="003C5A30" w:rsidRDefault="009A29FA" w:rsidP="0027619E">
      <w:pPr>
        <w:pStyle w:val="ListParagraph"/>
        <w:numPr>
          <w:ilvl w:val="0"/>
          <w:numId w:val="41"/>
        </w:numPr>
      </w:pPr>
      <w:r w:rsidRPr="003C5A30">
        <w:t>Narcolepsy</w:t>
      </w:r>
    </w:p>
    <w:p w14:paraId="422BD760" w14:textId="77777777" w:rsidR="00EB55FB" w:rsidRPr="00A178DB" w:rsidRDefault="00EB55FB" w:rsidP="008F4697">
      <w:pPr>
        <w:pStyle w:val="Heading4"/>
      </w:pPr>
      <w:r w:rsidRPr="00A178DB">
        <w:t>Methylphenidate Chewable Tablets</w:t>
      </w:r>
    </w:p>
    <w:p w14:paraId="26F24489" w14:textId="77777777" w:rsidR="00EB55FB" w:rsidRPr="00A178DB" w:rsidRDefault="00EB55FB" w:rsidP="0014555F">
      <w:r w:rsidRPr="00A178DB">
        <w:t xml:space="preserve">Attention Deficit Disorders </w:t>
      </w:r>
    </w:p>
    <w:p w14:paraId="373BFA43" w14:textId="77777777" w:rsidR="00EB55FB" w:rsidRPr="00F9586C" w:rsidRDefault="00EB55FB" w:rsidP="0014555F">
      <w:pPr>
        <w:rPr>
          <w:bCs/>
          <w:u w:val="single"/>
        </w:rPr>
      </w:pPr>
      <w:r w:rsidRPr="00A178DB">
        <w:t>Methylphenidate hydrochloride chewable tablets are indicated as an integral part of a total treatment program which typically includes other remedial measures (psychological, educational, social) for a stabilizing effect in children with a behavioral syndrome characterized by the following group of developmentally inappropriate symptoms: moderate-to-severe distractibility, short attention span, hyperactivity, emotional lability, and impulsivity.</w:t>
      </w:r>
    </w:p>
    <w:p w14:paraId="12FCA28D" w14:textId="77777777" w:rsidR="00EB55FB" w:rsidRPr="00A178DB" w:rsidRDefault="00EB55FB" w:rsidP="0014555F">
      <w:r w:rsidRPr="00A178DB">
        <w:t>Narcolepsy</w:t>
      </w:r>
    </w:p>
    <w:p w14:paraId="77E868C4" w14:textId="24713127" w:rsidR="009A29FA" w:rsidRPr="00A178DB" w:rsidRDefault="009A29FA" w:rsidP="008F4697">
      <w:pPr>
        <w:pStyle w:val="Heading4"/>
      </w:pPr>
      <w:r w:rsidRPr="00A178DB">
        <w:t>Methylphenidate Extended-Release, Ritalin</w:t>
      </w:r>
    </w:p>
    <w:p w14:paraId="2A08277B" w14:textId="77777777" w:rsidR="009A29FA" w:rsidRPr="00A178DB" w:rsidRDefault="009A29FA" w:rsidP="009A29FA">
      <w:pPr>
        <w:tabs>
          <w:tab w:val="left" w:pos="450"/>
          <w:tab w:val="left" w:pos="2520"/>
        </w:tabs>
        <w:rPr>
          <w:rFonts w:cs="Arial"/>
          <w:bCs/>
        </w:rPr>
      </w:pPr>
      <w:r w:rsidRPr="00A178DB">
        <w:rPr>
          <w:rFonts w:cs="Arial"/>
          <w:bCs/>
        </w:rPr>
        <w:t>These products are indicated for the treatment of:</w:t>
      </w:r>
    </w:p>
    <w:p w14:paraId="15DF7254" w14:textId="77777777" w:rsidR="009A29FA" w:rsidRPr="0027619E" w:rsidRDefault="009A29FA" w:rsidP="0027619E">
      <w:pPr>
        <w:pStyle w:val="ListParagraph"/>
        <w:numPr>
          <w:ilvl w:val="0"/>
          <w:numId w:val="42"/>
        </w:numPr>
      </w:pPr>
      <w:r w:rsidRPr="0027619E">
        <w:t>Attention Deficit Hyperactivity Disorders (ADHD)</w:t>
      </w:r>
      <w:r w:rsidRPr="003C5A30">
        <w:t xml:space="preserve"> in pediatric patients 6 years and older and adults</w:t>
      </w:r>
    </w:p>
    <w:p w14:paraId="3831AF6C" w14:textId="77777777" w:rsidR="009A29FA" w:rsidRPr="0027619E" w:rsidRDefault="009A29FA" w:rsidP="0027619E">
      <w:pPr>
        <w:pStyle w:val="ListParagraph"/>
        <w:numPr>
          <w:ilvl w:val="0"/>
          <w:numId w:val="42"/>
        </w:numPr>
      </w:pPr>
      <w:r w:rsidRPr="0027619E">
        <w:t>Narcolepsy</w:t>
      </w:r>
    </w:p>
    <w:p w14:paraId="207829FA" w14:textId="70D2499E" w:rsidR="009A29FA" w:rsidRPr="00A178DB" w:rsidRDefault="009A29FA" w:rsidP="008F4697">
      <w:pPr>
        <w:pStyle w:val="Heading4"/>
      </w:pPr>
      <w:bookmarkStart w:id="2" w:name="OLE_LINK35"/>
      <w:r w:rsidRPr="00A178DB">
        <w:t xml:space="preserve">Methylphenidate </w:t>
      </w:r>
      <w:r w:rsidR="00C07951">
        <w:t>LA, Ritalin LA</w:t>
      </w:r>
    </w:p>
    <w:p w14:paraId="3AC0218F" w14:textId="31ACD7BB" w:rsidR="009A29FA" w:rsidRPr="00A178DB" w:rsidRDefault="00C07951" w:rsidP="00C01AD8">
      <w:pPr>
        <w:pStyle w:val="BodyText"/>
      </w:pPr>
      <w:r>
        <w:t>These products</w:t>
      </w:r>
      <w:r w:rsidR="009A29FA" w:rsidRPr="00A178DB">
        <w:t xml:space="preserve"> are indicated for the treatment of Attention Deficit Hyperactivity Disorder (ADHD)</w:t>
      </w:r>
      <w:r>
        <w:t>,</w:t>
      </w:r>
      <w:r w:rsidR="009A29FA" w:rsidRPr="00A178DB">
        <w:t xml:space="preserve"> in pediatric patients 6 to 1</w:t>
      </w:r>
      <w:r>
        <w:t>2</w:t>
      </w:r>
      <w:r w:rsidR="009A29FA" w:rsidRPr="00A178DB">
        <w:t xml:space="preserve"> years of age.</w:t>
      </w:r>
    </w:p>
    <w:bookmarkEnd w:id="2"/>
    <w:p w14:paraId="307402A5" w14:textId="77777777" w:rsidR="009A29FA" w:rsidRPr="00A178DB" w:rsidRDefault="009A29FA" w:rsidP="008F4697">
      <w:pPr>
        <w:pStyle w:val="Heading4"/>
      </w:pPr>
      <w:r w:rsidRPr="00A178DB">
        <w:t>Methylphenidate Osmotic Extended-Release, Relexxii</w:t>
      </w:r>
    </w:p>
    <w:p w14:paraId="35D77582" w14:textId="0993D96E" w:rsidR="009A29FA" w:rsidRPr="00A178DB" w:rsidRDefault="009A29FA" w:rsidP="00C01AD8">
      <w:pPr>
        <w:pStyle w:val="BodyText"/>
      </w:pPr>
      <w:r w:rsidRPr="00A178DB">
        <w:t>These products are indicated for the treatment of Attention Deficit Hyperactivity Disorder (ADHD) in adults (up to the age of 65 years) and pediatric patients 6 years of age and older.</w:t>
      </w:r>
    </w:p>
    <w:p w14:paraId="25C3C97B" w14:textId="77777777" w:rsidR="009A29FA" w:rsidRPr="00A178DB" w:rsidRDefault="009A29FA" w:rsidP="008F4697">
      <w:pPr>
        <w:pStyle w:val="Heading4"/>
      </w:pPr>
      <w:r w:rsidRPr="00A178DB">
        <w:t>Mydayis</w:t>
      </w:r>
    </w:p>
    <w:p w14:paraId="63153193" w14:textId="77777777" w:rsidR="009A29FA" w:rsidRPr="00A178DB" w:rsidRDefault="009A29FA" w:rsidP="00C01AD8">
      <w:pPr>
        <w:pStyle w:val="BodyText"/>
      </w:pPr>
      <w:r w:rsidRPr="00A178DB">
        <w:t>Mydayis is indicated for the treatment of Attention Deficit Hyperactivity Disorder (ADHD) in patients 13 years and older.</w:t>
      </w:r>
    </w:p>
    <w:p w14:paraId="3F1BAF97" w14:textId="77777777" w:rsidR="009A29FA" w:rsidRPr="00A178DB" w:rsidRDefault="009A29FA" w:rsidP="008A3B27">
      <w:pPr>
        <w:pStyle w:val="Heading5"/>
      </w:pPr>
      <w:bookmarkStart w:id="3" w:name="OLE_LINK29"/>
      <w:r w:rsidRPr="00A178DB">
        <w:t>Limitations of Use:</w:t>
      </w:r>
    </w:p>
    <w:p w14:paraId="49699396" w14:textId="0808F47B" w:rsidR="009A29FA" w:rsidRPr="00A178DB" w:rsidRDefault="009A29FA" w:rsidP="00C01AD8">
      <w:pPr>
        <w:pStyle w:val="BodyText"/>
      </w:pPr>
      <w:r w:rsidRPr="00A178DB">
        <w:t>Pediatric patients 12 years and younger experienced higher plasma exposure than patients 13 years and older at the same dose, and experienced higher rates of adverse reactions, mainly insomnia and decreased appetite.</w:t>
      </w:r>
      <w:bookmarkEnd w:id="3"/>
    </w:p>
    <w:p w14:paraId="76A2C113" w14:textId="77777777" w:rsidR="009A29FA" w:rsidRPr="00A178DB" w:rsidRDefault="009A29FA" w:rsidP="008F4697">
      <w:pPr>
        <w:pStyle w:val="Heading4"/>
      </w:pPr>
      <w:r w:rsidRPr="00A178DB">
        <w:t>Strattera</w:t>
      </w:r>
    </w:p>
    <w:p w14:paraId="5CD5F8A7" w14:textId="77777777" w:rsidR="009A29FA" w:rsidRPr="00A178DB" w:rsidRDefault="009A29FA" w:rsidP="00C01AD8">
      <w:pPr>
        <w:pStyle w:val="BodyText"/>
      </w:pPr>
      <w:r w:rsidRPr="00A178DB">
        <w:t>Strattera is indicated for the treatment of Attention-Deficit/Hyperactivity Disorder (ADHD).</w:t>
      </w:r>
    </w:p>
    <w:p w14:paraId="7B06A739" w14:textId="6E3B9648" w:rsidR="009A29FA" w:rsidRPr="00A178DB" w:rsidRDefault="009A29FA" w:rsidP="00C01AD8">
      <w:pPr>
        <w:pStyle w:val="BodyText"/>
      </w:pPr>
      <w:r w:rsidRPr="00A178DB">
        <w:t>The efficacy of Strattera capsules was established in seven clinical trials in outpatients with ADHD; four 6 to 9-week trials in pediatric patients (ages 6 to 18), two 10-week trials in adults, and one maintenance trial in pediatrics (ages 6 to 15).</w:t>
      </w:r>
    </w:p>
    <w:p w14:paraId="5CE168EC" w14:textId="77777777" w:rsidR="00F97167" w:rsidRPr="00A178DB" w:rsidRDefault="00F97167" w:rsidP="008F4697">
      <w:pPr>
        <w:pStyle w:val="Heading4"/>
        <w:rPr>
          <w:b/>
        </w:rPr>
      </w:pPr>
      <w:bookmarkStart w:id="4" w:name="OLE_LINK30"/>
      <w:r w:rsidRPr="00A178DB">
        <w:t>Xelstrym</w:t>
      </w:r>
    </w:p>
    <w:p w14:paraId="4E82FC0D" w14:textId="77777777" w:rsidR="00F97167" w:rsidRPr="00A178DB" w:rsidRDefault="00F97167" w:rsidP="00656FAB">
      <w:pPr>
        <w:pStyle w:val="BodyText"/>
      </w:pPr>
      <w:r w:rsidRPr="00A178DB">
        <w:t>Xelstrym is indicated for the treatment of Attention Deficit Hyperactivity Disorder (ADHD) in adults and pediatric patients 6 years and older.</w:t>
      </w:r>
    </w:p>
    <w:p w14:paraId="120C6228" w14:textId="6140640B" w:rsidR="00F97167" w:rsidRPr="00A178DB" w:rsidRDefault="00F97167" w:rsidP="008A3B27">
      <w:pPr>
        <w:pStyle w:val="Heading5"/>
      </w:pPr>
      <w:r w:rsidRPr="00A178DB">
        <w:t>Limitations of Use</w:t>
      </w:r>
      <w:r w:rsidR="00B716BC">
        <w:t>:</w:t>
      </w:r>
    </w:p>
    <w:p w14:paraId="001E4D6F" w14:textId="77777777" w:rsidR="00F97167" w:rsidRPr="00A178DB" w:rsidRDefault="00F97167" w:rsidP="003C3446">
      <w:pPr>
        <w:tabs>
          <w:tab w:val="left" w:pos="2160"/>
          <w:tab w:val="left" w:pos="2520"/>
          <w:tab w:val="left" w:pos="2880"/>
          <w:tab w:val="left" w:pos="5580"/>
          <w:tab w:val="left" w:pos="6480"/>
        </w:tabs>
        <w:rPr>
          <w:bCs/>
        </w:rPr>
      </w:pPr>
      <w:r w:rsidRPr="00A178DB">
        <w:rPr>
          <w:bCs/>
        </w:rPr>
        <w:t>Pediatric patients younger than 6 years of age experienced more long-term weight loss than patients 6 years and older.</w:t>
      </w:r>
      <w:bookmarkEnd w:id="4"/>
    </w:p>
    <w:p w14:paraId="50A38FBA" w14:textId="0F97FBBF" w:rsidR="00FE0C63" w:rsidRPr="00A178DB" w:rsidRDefault="00685107" w:rsidP="00FF2B76">
      <w:pPr>
        <w:pStyle w:val="Heading2"/>
        <w:rPr>
          <w:color w:val="000000" w:themeColor="text1"/>
        </w:rPr>
      </w:pPr>
      <w:r w:rsidRPr="00A178DB">
        <w:t>Coverage Criteria</w:t>
      </w:r>
    </w:p>
    <w:p w14:paraId="3C2B4F65" w14:textId="77777777" w:rsidR="003C3446" w:rsidRPr="00A178DB" w:rsidRDefault="00874F21" w:rsidP="000C3CEC">
      <w:pPr>
        <w:pStyle w:val="Heading3"/>
      </w:pPr>
      <w:r w:rsidRPr="00A178DB">
        <w:t>Attention-Deficit/Hyperactivity Disorder (ADHD) or Attention Deficit Disorder (ADD)</w:t>
      </w:r>
    </w:p>
    <w:p w14:paraId="0E32A447" w14:textId="54A182B0" w:rsidR="00874F21" w:rsidRPr="00A178DB" w:rsidRDefault="00874F21" w:rsidP="001F3614">
      <w:pPr>
        <w:pStyle w:val="BodyText"/>
        <w:tabs>
          <w:tab w:val="left" w:pos="10710"/>
        </w:tabs>
        <w:rPr>
          <w:b/>
          <w:bCs/>
        </w:rPr>
      </w:pPr>
      <w:r w:rsidRPr="00A178DB">
        <w:t xml:space="preserve">Authorization may be granted </w:t>
      </w:r>
      <w:r w:rsidR="0073394E">
        <w:t>when the patient has</w:t>
      </w:r>
      <w:r w:rsidRPr="00A178DB">
        <w:t xml:space="preserve"> a diagnosis of Attention-Deficit/Hyperactivity Disorder (ADHD) or Attention Deficit Disorder (ADD) when ALL of the following criteria are met:</w:t>
      </w:r>
    </w:p>
    <w:p w14:paraId="47D4EC18" w14:textId="531F6B89" w:rsidR="00874F21" w:rsidRPr="00A178DB" w:rsidRDefault="00874F21" w:rsidP="001F3614">
      <w:pPr>
        <w:pStyle w:val="ListParagraph"/>
        <w:numPr>
          <w:ilvl w:val="0"/>
          <w:numId w:val="32"/>
        </w:numPr>
        <w:tabs>
          <w:tab w:val="left" w:pos="10710"/>
        </w:tabs>
        <w:spacing w:after="0" w:line="259" w:lineRule="auto"/>
        <w:ind w:right="0"/>
        <w:textAlignment w:val="auto"/>
      </w:pPr>
      <w:r w:rsidRPr="00A178DB">
        <w:t>The diagnosis has been appropriately documented (e.g., evaluated by a complete clinical assessment, using DSM-5, standardized rating scales, interviews/questionnaires)</w:t>
      </w:r>
      <w:r w:rsidR="00B66D50">
        <w:t>.</w:t>
      </w:r>
    </w:p>
    <w:p w14:paraId="24A3EEDA" w14:textId="25CA5FEE" w:rsidR="00544BBD" w:rsidRPr="00A178DB" w:rsidRDefault="00867F34" w:rsidP="001F3614">
      <w:pPr>
        <w:pStyle w:val="ListParagraph"/>
        <w:tabs>
          <w:tab w:val="left" w:pos="10710"/>
        </w:tabs>
        <w:ind w:right="0"/>
      </w:pPr>
      <w:r>
        <w:t xml:space="preserve">If the patient is 5 years of age or younger, the patient continues to have ADHD/ADD symptoms despite participating in evidence-based behavioral therapy (e.g., parent training in behavior management (PTBM), behavioral </w:t>
      </w:r>
      <w:r w:rsidR="00C85517">
        <w:t>classroom interventions)</w:t>
      </w:r>
      <w:r w:rsidR="000A6C43">
        <w:t>.</w:t>
      </w:r>
    </w:p>
    <w:p w14:paraId="16CAFE1A" w14:textId="77777777" w:rsidR="003C3446" w:rsidRPr="00A178DB" w:rsidRDefault="00874F21" w:rsidP="001F3614">
      <w:pPr>
        <w:pStyle w:val="Heading3"/>
        <w:tabs>
          <w:tab w:val="left" w:pos="10710"/>
        </w:tabs>
      </w:pPr>
      <w:r w:rsidRPr="00A178DB">
        <w:t>Narcolepsy</w:t>
      </w:r>
    </w:p>
    <w:p w14:paraId="448B4FDB" w14:textId="5FCEE3C8" w:rsidR="00874F21" w:rsidRPr="00A178DB" w:rsidRDefault="00874F21" w:rsidP="001F3614">
      <w:pPr>
        <w:pStyle w:val="BodyText"/>
        <w:tabs>
          <w:tab w:val="left" w:pos="10710"/>
        </w:tabs>
        <w:rPr>
          <w:b/>
          <w:bCs/>
        </w:rPr>
      </w:pPr>
      <w:r w:rsidRPr="00A178DB">
        <w:t xml:space="preserve">Authorization may be granted </w:t>
      </w:r>
      <w:r w:rsidR="00747B77">
        <w:t>when the patient has</w:t>
      </w:r>
      <w:r w:rsidRPr="00A178DB">
        <w:t xml:space="preserve"> a diagnosis of narcolepsy when ALL of the following criteria are met:</w:t>
      </w:r>
    </w:p>
    <w:p w14:paraId="2F8353AF" w14:textId="61B126ED" w:rsidR="00874F21" w:rsidRPr="00A178DB" w:rsidRDefault="00874F21" w:rsidP="001F3614">
      <w:pPr>
        <w:pStyle w:val="ListParagraph"/>
        <w:numPr>
          <w:ilvl w:val="0"/>
          <w:numId w:val="34"/>
        </w:numPr>
        <w:tabs>
          <w:tab w:val="left" w:pos="10710"/>
        </w:tabs>
        <w:spacing w:line="259" w:lineRule="auto"/>
        <w:ind w:left="720"/>
      </w:pPr>
      <w:r w:rsidRPr="00A178DB">
        <w:t>This request is NOT for amphetamine extended-release (Adzenys ER, Adzenys XR-ODT), amphetamine-dextroamphetamine extended-release (Adderall XR), amphetamine sulfate orally disintegrating tablet (Evekeo ODT), methylphenidate chewable tablet, methylphenidate immediate release, methylphenidate extended-release (Aptensio XR, Concerta, Cotempla XR-ODT, methylphenidate CD, Methylphenidate Osmotic Extended-Release, Relexxii, Ritalin LA), dexmethylphenidate (Focalin), or dexmethylphenidate extended-release (Focalin XR)</w:t>
      </w:r>
      <w:r w:rsidR="00446917">
        <w:t>.</w:t>
      </w:r>
    </w:p>
    <w:p w14:paraId="5C2E3338" w14:textId="0AEF8FD3" w:rsidR="00874F21" w:rsidRPr="00A178DB" w:rsidRDefault="00874F21" w:rsidP="001F3614">
      <w:pPr>
        <w:pStyle w:val="ListParagraph"/>
        <w:numPr>
          <w:ilvl w:val="0"/>
          <w:numId w:val="34"/>
        </w:numPr>
        <w:tabs>
          <w:tab w:val="left" w:pos="10710"/>
        </w:tabs>
        <w:spacing w:line="259" w:lineRule="auto"/>
        <w:ind w:left="720"/>
      </w:pPr>
      <w:r w:rsidRPr="00A178DB">
        <w:t>The requested drug is being prescribed by, or in consultation with, a sleep specialist</w:t>
      </w:r>
      <w:r w:rsidR="00446917">
        <w:t>.</w:t>
      </w:r>
    </w:p>
    <w:p w14:paraId="6AE47A0C" w14:textId="38DDBA90" w:rsidR="000100A6" w:rsidRDefault="00874F21" w:rsidP="001F3614">
      <w:pPr>
        <w:pStyle w:val="ListParagraph"/>
        <w:numPr>
          <w:ilvl w:val="0"/>
          <w:numId w:val="34"/>
        </w:numPr>
        <w:tabs>
          <w:tab w:val="left" w:pos="10710"/>
        </w:tabs>
        <w:spacing w:line="259" w:lineRule="auto"/>
        <w:ind w:left="720"/>
      </w:pPr>
      <w:r w:rsidRPr="00A178DB">
        <w:t>The diagnosis has been confirmed by a sleep study</w:t>
      </w:r>
      <w:r w:rsidR="00446917">
        <w:t>.</w:t>
      </w:r>
    </w:p>
    <w:p w14:paraId="5FB6452C" w14:textId="77777777" w:rsidR="00F3572A" w:rsidRPr="00A178DB" w:rsidRDefault="00F3572A" w:rsidP="001F3614">
      <w:pPr>
        <w:pStyle w:val="Heading2"/>
        <w:tabs>
          <w:tab w:val="left" w:pos="10710"/>
        </w:tabs>
      </w:pPr>
      <w:r w:rsidRPr="00A178DB">
        <w:t>Continuation of Therapy</w:t>
      </w:r>
    </w:p>
    <w:p w14:paraId="6E8884D8" w14:textId="77777777" w:rsidR="00F3572A" w:rsidRPr="00A178DB" w:rsidRDefault="00F3572A" w:rsidP="001F3614">
      <w:pPr>
        <w:pStyle w:val="Heading3"/>
        <w:tabs>
          <w:tab w:val="left" w:pos="10710"/>
        </w:tabs>
      </w:pPr>
      <w:r w:rsidRPr="00A178DB">
        <w:t>Attention-Deficit/Hyperactivity Disorder (ADHD) or Attention Deficit Disorder (ADD)</w:t>
      </w:r>
    </w:p>
    <w:p w14:paraId="065D46D6" w14:textId="1F0563F3" w:rsidR="00F3572A" w:rsidRPr="00BA3082" w:rsidRDefault="00F3572A" w:rsidP="001F3614">
      <w:pPr>
        <w:tabs>
          <w:tab w:val="left" w:pos="10710"/>
        </w:tabs>
        <w:rPr>
          <w:rFonts w:cs="Arial"/>
        </w:rPr>
      </w:pPr>
      <w:r w:rsidRPr="00A178DB">
        <w:rPr>
          <w:rFonts w:cs="Arial"/>
        </w:rPr>
        <w:t xml:space="preserve">Authorization may be granted </w:t>
      </w:r>
      <w:r w:rsidR="00747B77">
        <w:rPr>
          <w:rFonts w:cs="Arial"/>
        </w:rPr>
        <w:t>when the patient has</w:t>
      </w:r>
      <w:r w:rsidRPr="00A178DB">
        <w:rPr>
          <w:rFonts w:cs="Arial"/>
        </w:rPr>
        <w:t xml:space="preserve"> a diagnosis of Attention-Deficit/Hyperactivity Disorder (ADHD) or Attention Deficit Disorder (ADD) when ALL of the following criteria are met:</w:t>
      </w:r>
    </w:p>
    <w:p w14:paraId="437336AA" w14:textId="5069EC11" w:rsidR="00F3572A" w:rsidRPr="00A178DB" w:rsidRDefault="00F3572A" w:rsidP="001F3614">
      <w:pPr>
        <w:pStyle w:val="ListParagraph"/>
        <w:numPr>
          <w:ilvl w:val="0"/>
          <w:numId w:val="37"/>
        </w:numPr>
        <w:tabs>
          <w:tab w:val="left" w:pos="10710"/>
        </w:tabs>
      </w:pPr>
      <w:r w:rsidRPr="00A178DB">
        <w:t>The patient achieved or maintained improvement in their signs and symptoms of ADHD/ADD from baseline</w:t>
      </w:r>
      <w:r w:rsidR="00C42136">
        <w:t>.</w:t>
      </w:r>
    </w:p>
    <w:p w14:paraId="10296376" w14:textId="711F7B83" w:rsidR="001E0C4C" w:rsidRPr="00A178DB" w:rsidRDefault="00F3572A" w:rsidP="001F3614">
      <w:pPr>
        <w:pStyle w:val="ListParagraph"/>
        <w:numPr>
          <w:ilvl w:val="0"/>
          <w:numId w:val="37"/>
        </w:numPr>
        <w:tabs>
          <w:tab w:val="left" w:pos="10710"/>
        </w:tabs>
        <w:spacing w:after="0" w:line="259" w:lineRule="auto"/>
        <w:ind w:right="0"/>
        <w:textAlignment w:val="auto"/>
      </w:pPr>
      <w:r w:rsidRPr="00A178DB">
        <w:t>The patient’s need for continued therapy has been assessed within the previous year</w:t>
      </w:r>
      <w:r w:rsidR="00C42136">
        <w:t>.</w:t>
      </w:r>
    </w:p>
    <w:p w14:paraId="778722CF" w14:textId="77777777" w:rsidR="00F3572A" w:rsidRPr="00A178DB" w:rsidRDefault="00F3572A" w:rsidP="001F3614">
      <w:pPr>
        <w:pStyle w:val="Heading3"/>
        <w:tabs>
          <w:tab w:val="left" w:pos="10710"/>
        </w:tabs>
      </w:pPr>
      <w:r w:rsidRPr="00A178DB">
        <w:t>Narcolepsy</w:t>
      </w:r>
    </w:p>
    <w:p w14:paraId="164F6506" w14:textId="2CD81128" w:rsidR="00F3572A" w:rsidRPr="00A178DB" w:rsidRDefault="00F3572A" w:rsidP="001F3614">
      <w:pPr>
        <w:pStyle w:val="BodyText"/>
        <w:tabs>
          <w:tab w:val="left" w:pos="10710"/>
        </w:tabs>
        <w:rPr>
          <w:b/>
          <w:bCs/>
        </w:rPr>
      </w:pPr>
      <w:r w:rsidRPr="00A178DB">
        <w:t xml:space="preserve">Authorization may be granted </w:t>
      </w:r>
      <w:r w:rsidR="00747B77">
        <w:t>when the patient has</w:t>
      </w:r>
      <w:r w:rsidRPr="00A178DB">
        <w:t xml:space="preserve"> a diagnosis of narcolepsy when ALL of the following criteria are met:</w:t>
      </w:r>
    </w:p>
    <w:p w14:paraId="7EE35A89" w14:textId="395FBC4E" w:rsidR="00F3572A" w:rsidRPr="00A178DB" w:rsidRDefault="00F3572A" w:rsidP="001F3614">
      <w:pPr>
        <w:pStyle w:val="ListParagraph"/>
        <w:numPr>
          <w:ilvl w:val="0"/>
          <w:numId w:val="39"/>
        </w:numPr>
        <w:tabs>
          <w:tab w:val="left" w:pos="10710"/>
        </w:tabs>
        <w:spacing w:line="259" w:lineRule="auto"/>
        <w:ind w:left="720"/>
      </w:pPr>
      <w:r w:rsidRPr="00A178DB">
        <w:t>This request is NOT for amphetamine extended-release (Adzenys ER, Adzenys XR-ODT), amphetamine-dextroamphetamine extended-release (Adderall XR), amphetamine sulfate orally disintegrating tablet (Evekeo ODT), methylphenidate chewable tablet, methylphenidate immediate release, methylphenidate extended-release (Aptensio XR, Concerta, Cotempla XR-ODT, methylphenidate CD, Methylphenidate Osmotic Extended-Release, Relexxii, Ritalin LA), dexmethylphenidate (Focalin), or dexmethylphenidate extended-release (Focalin XR)</w:t>
      </w:r>
      <w:r w:rsidR="00C42136">
        <w:t>.</w:t>
      </w:r>
    </w:p>
    <w:p w14:paraId="73154549" w14:textId="2B10530F" w:rsidR="00F3572A" w:rsidRPr="00A178DB" w:rsidRDefault="00F3572A" w:rsidP="001F3614">
      <w:pPr>
        <w:pStyle w:val="ListParagraph"/>
        <w:numPr>
          <w:ilvl w:val="0"/>
          <w:numId w:val="39"/>
        </w:numPr>
        <w:tabs>
          <w:tab w:val="left" w:pos="10710"/>
        </w:tabs>
        <w:spacing w:after="0" w:line="259" w:lineRule="auto"/>
        <w:ind w:left="720"/>
      </w:pPr>
      <w:r w:rsidRPr="00A178DB">
        <w:t>The patient has achieved or maintained improvement in daytime sleepiness with narcolepsy from baseline</w:t>
      </w:r>
      <w:r w:rsidR="00643547">
        <w:t>.</w:t>
      </w:r>
    </w:p>
    <w:p w14:paraId="167DF993" w14:textId="483F5357" w:rsidR="002512D1" w:rsidRPr="002512D1" w:rsidRDefault="002512D1" w:rsidP="002512D1">
      <w:pPr>
        <w:pStyle w:val="Heading2"/>
      </w:pPr>
      <w:r w:rsidRPr="002512D1">
        <w:t xml:space="preserve">Quantity Limits </w:t>
      </w:r>
      <w:r w:rsidR="007017C5">
        <w:t>A</w:t>
      </w:r>
      <w:r w:rsidRPr="002512D1">
        <w:t>pply</w:t>
      </w:r>
    </w:p>
    <w:p w14:paraId="1D2AE12D" w14:textId="781707FD" w:rsidR="00165258" w:rsidRDefault="00A178DB" w:rsidP="00C8518A">
      <w:pPr>
        <w:pStyle w:val="Heading3"/>
      </w:pPr>
      <w:r w:rsidRPr="00A178DB">
        <w:t xml:space="preserve">Post Limit Quantity </w:t>
      </w:r>
      <w:r w:rsidR="00B85547">
        <w:t>f</w:t>
      </w:r>
      <w:r w:rsidRPr="00A178DB">
        <w:t xml:space="preserve">or </w:t>
      </w:r>
      <w:r w:rsidR="00750E62" w:rsidRPr="00A178DB">
        <w:t>A</w:t>
      </w:r>
      <w:r w:rsidR="00750E62">
        <w:t>DHD</w:t>
      </w:r>
    </w:p>
    <w:p w14:paraId="783A30C1" w14:textId="77777777" w:rsidR="004E724F" w:rsidRDefault="004E724F" w:rsidP="004E724F">
      <w:pPr>
        <w:pStyle w:val="BodyText"/>
      </w:pPr>
      <w:r>
        <w:t>The duration of 25 days is used for a 30-day fill period and 75 days is used for a 90-day fill period to allow time for refill processing.</w:t>
      </w:r>
    </w:p>
    <w:p w14:paraId="6B6D4F20" w14:textId="2ECD404E" w:rsidR="004E724F" w:rsidRDefault="004E724F" w:rsidP="004E724F">
      <w:pPr>
        <w:pStyle w:val="BodyText"/>
      </w:pPr>
      <w:r>
        <w:t>Aptensio XR 60 mg</w:t>
      </w:r>
      <w:r w:rsidR="00645AFA">
        <w:t>;</w:t>
      </w:r>
      <w:r>
        <w:t xml:space="preserve"> Focalin XR 20 mg, 30 mg, 35 mg, and 40 mg</w:t>
      </w:r>
      <w:r w:rsidR="00645AFA">
        <w:t>;</w:t>
      </w:r>
      <w:r>
        <w:t xml:space="preserve"> </w:t>
      </w:r>
      <w:r w:rsidR="00A72200">
        <w:t>Metadate CD</w:t>
      </w:r>
      <w:r>
        <w:t xml:space="preserve"> 60 mg</w:t>
      </w:r>
      <w:r w:rsidR="00645AFA">
        <w:t>;</w:t>
      </w:r>
      <w:r>
        <w:t xml:space="preserve"> Methylphenidate LA 60 mg</w:t>
      </w:r>
      <w:r w:rsidR="00645AFA">
        <w:t>;</w:t>
      </w:r>
      <w:r>
        <w:t xml:space="preserve"> Methylphenidate Osmotic Extended-Release 63 mg and 72 mg</w:t>
      </w:r>
      <w:r w:rsidR="003B35A3">
        <w:t>;</w:t>
      </w:r>
      <w:r>
        <w:t xml:space="preserve"> and Relexxii 63 mg and 72 mg, strengths are not included in the post limit because a quantity that is greater than the initial limit would result in exceeding the off-label maximum daily dose.</w:t>
      </w:r>
    </w:p>
    <w:p w14:paraId="5BED1EFC" w14:textId="0F871504" w:rsidR="004E724F" w:rsidRPr="004E724F" w:rsidRDefault="004E724F" w:rsidP="00F3572A">
      <w:pPr>
        <w:pStyle w:val="BodyText"/>
      </w:pPr>
      <w:r>
        <w:t xml:space="preserve">The initial limits for </w:t>
      </w:r>
      <w:r w:rsidR="007C05D2">
        <w:t xml:space="preserve">Arynta, </w:t>
      </w:r>
      <w:r>
        <w:t>Azstarys, Daytrana, Desoxyn, Dyanavel XR, Jornay PM, Mydayis, Qelbree, QuilliChew ER, Quillivant XR, Strattera, Vyvanse, and Xelstrym are set at the off-label maximum daily dose for ADHD or there is no established off-label maximum daily dosage; therefore, no post limit quantities will be available for these drugs for the diagnosis of ADHD.</w:t>
      </w:r>
    </w:p>
    <w:tbl>
      <w:tblPr>
        <w:tblW w:w="4984" w:type="pct"/>
        <w:jc w:val="center"/>
        <w:tblBorders>
          <w:top w:val="single" w:sz="18" w:space="0" w:color="auto"/>
          <w:left w:val="single" w:sz="24" w:space="0" w:color="auto"/>
          <w:bottom w:val="single" w:sz="18" w:space="0" w:color="auto"/>
          <w:right w:val="single" w:sz="24" w:space="0" w:color="auto"/>
          <w:insideH w:val="single" w:sz="4" w:space="0" w:color="auto"/>
          <w:insideV w:val="single" w:sz="4" w:space="0" w:color="auto"/>
        </w:tblBorders>
        <w:tblLook w:val="01E0" w:firstRow="1" w:lastRow="1" w:firstColumn="1" w:lastColumn="1" w:noHBand="0" w:noVBand="0"/>
      </w:tblPr>
      <w:tblGrid>
        <w:gridCol w:w="6805"/>
        <w:gridCol w:w="1972"/>
        <w:gridCol w:w="1929"/>
      </w:tblGrid>
      <w:tr w:rsidR="00C8518A" w:rsidRPr="00A178DB" w14:paraId="752EBBF1" w14:textId="77777777" w:rsidTr="00D95B66">
        <w:trPr>
          <w:tblHeader/>
          <w:jc w:val="center"/>
        </w:trPr>
        <w:tc>
          <w:tcPr>
            <w:tcW w:w="3178" w:type="pct"/>
            <w:vAlign w:val="center"/>
            <w:hideMark/>
          </w:tcPr>
          <w:p w14:paraId="7ACF3314" w14:textId="77777777" w:rsidR="00C8518A" w:rsidRPr="00A178DB" w:rsidRDefault="00C8518A" w:rsidP="003C37A4">
            <w:pPr>
              <w:rPr>
                <w:rFonts w:cs="Arial"/>
              </w:rPr>
            </w:pPr>
            <w:r w:rsidRPr="00A178DB">
              <w:rPr>
                <w:rFonts w:cs="Arial"/>
                <w:b/>
              </w:rPr>
              <w:t>Drug</w:t>
            </w:r>
          </w:p>
        </w:tc>
        <w:tc>
          <w:tcPr>
            <w:tcW w:w="921" w:type="pct"/>
            <w:vAlign w:val="center"/>
            <w:hideMark/>
          </w:tcPr>
          <w:p w14:paraId="79E78737" w14:textId="4A49AAF6" w:rsidR="00C8518A" w:rsidRPr="00A178DB" w:rsidRDefault="00C8518A" w:rsidP="003C37A4">
            <w:pPr>
              <w:rPr>
                <w:rFonts w:cs="Arial"/>
              </w:rPr>
            </w:pPr>
            <w:r w:rsidRPr="00A178DB">
              <w:rPr>
                <w:rFonts w:cs="Arial"/>
                <w:b/>
              </w:rPr>
              <w:t>Quantity / 25 days</w:t>
            </w:r>
          </w:p>
        </w:tc>
        <w:tc>
          <w:tcPr>
            <w:tcW w:w="901" w:type="pct"/>
            <w:vAlign w:val="center"/>
            <w:hideMark/>
          </w:tcPr>
          <w:p w14:paraId="423B3A0C" w14:textId="49E0764D" w:rsidR="00C8518A" w:rsidRPr="00A178DB" w:rsidRDefault="00C8518A" w:rsidP="003C37A4">
            <w:pPr>
              <w:rPr>
                <w:rFonts w:cs="Arial"/>
              </w:rPr>
            </w:pPr>
            <w:r w:rsidRPr="00A178DB">
              <w:rPr>
                <w:rFonts w:cs="Arial"/>
                <w:b/>
              </w:rPr>
              <w:t>Quantity / 75 days</w:t>
            </w:r>
          </w:p>
        </w:tc>
      </w:tr>
      <w:tr w:rsidR="00C8518A" w:rsidRPr="00A178DB" w14:paraId="4ADF45C9" w14:textId="77777777" w:rsidTr="00D95B66">
        <w:trPr>
          <w:trHeight w:val="389"/>
          <w:jc w:val="center"/>
        </w:trPr>
        <w:tc>
          <w:tcPr>
            <w:tcW w:w="3178" w:type="pct"/>
            <w:hideMark/>
          </w:tcPr>
          <w:p w14:paraId="1CED07BC" w14:textId="77777777" w:rsidR="00C8518A" w:rsidRPr="00A178DB" w:rsidRDefault="00C8518A" w:rsidP="003C37A4">
            <w:pPr>
              <w:rPr>
                <w:rFonts w:cs="Arial"/>
              </w:rPr>
            </w:pPr>
            <w:r w:rsidRPr="00A178DB">
              <w:rPr>
                <w:rFonts w:cs="Arial"/>
              </w:rPr>
              <w:t>Adderall (amphetamine-dextroamphetamine) 5 mg, 7.5 mg, 10 mg, 12.5 mg</w:t>
            </w:r>
          </w:p>
        </w:tc>
        <w:tc>
          <w:tcPr>
            <w:tcW w:w="921" w:type="pct"/>
            <w:hideMark/>
          </w:tcPr>
          <w:p w14:paraId="4C4E8273" w14:textId="77777777" w:rsidR="00C8518A" w:rsidRPr="00A178DB" w:rsidRDefault="00C8518A" w:rsidP="003C37A4">
            <w:pPr>
              <w:rPr>
                <w:rFonts w:cs="Arial"/>
              </w:rPr>
            </w:pPr>
            <w:r w:rsidRPr="00A178DB">
              <w:rPr>
                <w:rFonts w:cs="Arial"/>
              </w:rPr>
              <w:t>120 tablets</w:t>
            </w:r>
          </w:p>
        </w:tc>
        <w:tc>
          <w:tcPr>
            <w:tcW w:w="901" w:type="pct"/>
            <w:hideMark/>
          </w:tcPr>
          <w:p w14:paraId="7AEF56BB" w14:textId="77777777" w:rsidR="00C8518A" w:rsidRPr="00A178DB" w:rsidRDefault="00C8518A" w:rsidP="003C37A4">
            <w:pPr>
              <w:rPr>
                <w:rFonts w:cs="Arial"/>
              </w:rPr>
            </w:pPr>
            <w:r w:rsidRPr="00A178DB">
              <w:rPr>
                <w:rFonts w:cs="Arial"/>
              </w:rPr>
              <w:t>360 tablets</w:t>
            </w:r>
          </w:p>
        </w:tc>
      </w:tr>
      <w:tr w:rsidR="00C8518A" w:rsidRPr="00A178DB" w14:paraId="0803D6AC" w14:textId="77777777" w:rsidTr="00D95B66">
        <w:trPr>
          <w:trHeight w:val="389"/>
          <w:jc w:val="center"/>
        </w:trPr>
        <w:tc>
          <w:tcPr>
            <w:tcW w:w="3178" w:type="pct"/>
            <w:hideMark/>
          </w:tcPr>
          <w:p w14:paraId="7285019D" w14:textId="77777777" w:rsidR="00C8518A" w:rsidRPr="00A178DB" w:rsidRDefault="00C8518A" w:rsidP="003C37A4">
            <w:pPr>
              <w:rPr>
                <w:rFonts w:cs="Arial"/>
              </w:rPr>
            </w:pPr>
            <w:r w:rsidRPr="00A178DB">
              <w:rPr>
                <w:rFonts w:cs="Arial"/>
              </w:rPr>
              <w:t>Adderall (amphetamine-dextroamphetamine) 15 mg, 20 mg</w:t>
            </w:r>
          </w:p>
        </w:tc>
        <w:tc>
          <w:tcPr>
            <w:tcW w:w="921" w:type="pct"/>
            <w:hideMark/>
          </w:tcPr>
          <w:p w14:paraId="739BDCD1" w14:textId="77777777" w:rsidR="00C8518A" w:rsidRPr="00A178DB" w:rsidRDefault="00C8518A" w:rsidP="003C37A4">
            <w:pPr>
              <w:rPr>
                <w:rFonts w:cs="Arial"/>
              </w:rPr>
            </w:pPr>
            <w:r w:rsidRPr="00A178DB">
              <w:rPr>
                <w:rFonts w:cs="Arial"/>
              </w:rPr>
              <w:t>90 tablets</w:t>
            </w:r>
          </w:p>
        </w:tc>
        <w:tc>
          <w:tcPr>
            <w:tcW w:w="901" w:type="pct"/>
            <w:hideMark/>
          </w:tcPr>
          <w:p w14:paraId="3D7336A3" w14:textId="77777777" w:rsidR="00C8518A" w:rsidRPr="00A178DB" w:rsidRDefault="00C8518A" w:rsidP="003C37A4">
            <w:pPr>
              <w:rPr>
                <w:rFonts w:cs="Arial"/>
              </w:rPr>
            </w:pPr>
            <w:r w:rsidRPr="00A178DB">
              <w:rPr>
                <w:rFonts w:cs="Arial"/>
              </w:rPr>
              <w:t>270 tablets</w:t>
            </w:r>
          </w:p>
        </w:tc>
      </w:tr>
      <w:tr w:rsidR="00C8518A" w:rsidRPr="00A178DB" w14:paraId="3CC96A48" w14:textId="77777777" w:rsidTr="00D95B66">
        <w:trPr>
          <w:trHeight w:val="389"/>
          <w:jc w:val="center"/>
        </w:trPr>
        <w:tc>
          <w:tcPr>
            <w:tcW w:w="3178" w:type="pct"/>
            <w:hideMark/>
          </w:tcPr>
          <w:p w14:paraId="164F3497" w14:textId="77777777" w:rsidR="00C8518A" w:rsidRPr="00A178DB" w:rsidRDefault="00C8518A" w:rsidP="003C37A4">
            <w:pPr>
              <w:rPr>
                <w:rFonts w:cs="Arial"/>
              </w:rPr>
            </w:pPr>
            <w:r w:rsidRPr="00A178DB">
              <w:rPr>
                <w:rFonts w:cs="Arial"/>
              </w:rPr>
              <w:t>Adderall (amphetamine-dextroamphetamine) 30 mg</w:t>
            </w:r>
          </w:p>
        </w:tc>
        <w:tc>
          <w:tcPr>
            <w:tcW w:w="921" w:type="pct"/>
            <w:hideMark/>
          </w:tcPr>
          <w:p w14:paraId="77A14FDB" w14:textId="77777777" w:rsidR="00C8518A" w:rsidRPr="00A178DB" w:rsidRDefault="00C8518A" w:rsidP="003C37A4">
            <w:pPr>
              <w:rPr>
                <w:rFonts w:cs="Arial"/>
              </w:rPr>
            </w:pPr>
            <w:r w:rsidRPr="00A178DB">
              <w:rPr>
                <w:rFonts w:cs="Arial"/>
              </w:rPr>
              <w:t>60 tablets</w:t>
            </w:r>
          </w:p>
        </w:tc>
        <w:tc>
          <w:tcPr>
            <w:tcW w:w="901" w:type="pct"/>
            <w:hideMark/>
          </w:tcPr>
          <w:p w14:paraId="02817DF2" w14:textId="77777777" w:rsidR="00C8518A" w:rsidRPr="00A178DB" w:rsidRDefault="00C8518A" w:rsidP="003C37A4">
            <w:pPr>
              <w:rPr>
                <w:rFonts w:cs="Arial"/>
              </w:rPr>
            </w:pPr>
            <w:r w:rsidRPr="00A178DB">
              <w:rPr>
                <w:rFonts w:cs="Arial"/>
              </w:rPr>
              <w:t>180 tablets</w:t>
            </w:r>
          </w:p>
        </w:tc>
      </w:tr>
      <w:tr w:rsidR="00C8518A" w:rsidRPr="00A178DB" w14:paraId="0E64458F" w14:textId="77777777" w:rsidTr="00D95B66">
        <w:trPr>
          <w:trHeight w:val="389"/>
          <w:jc w:val="center"/>
        </w:trPr>
        <w:tc>
          <w:tcPr>
            <w:tcW w:w="3178" w:type="pct"/>
            <w:hideMark/>
          </w:tcPr>
          <w:p w14:paraId="15FF1CEF" w14:textId="77777777" w:rsidR="00C8518A" w:rsidRPr="00A178DB" w:rsidRDefault="00C8518A" w:rsidP="003C37A4">
            <w:pPr>
              <w:rPr>
                <w:rFonts w:cs="Arial"/>
              </w:rPr>
            </w:pPr>
            <w:r w:rsidRPr="00A178DB">
              <w:rPr>
                <w:rFonts w:cs="Arial"/>
              </w:rPr>
              <w:t>Adderall XR (amphetamine-dextroamphetamine extended-release) 5 mg, 10 mg</w:t>
            </w:r>
          </w:p>
        </w:tc>
        <w:tc>
          <w:tcPr>
            <w:tcW w:w="921" w:type="pct"/>
            <w:hideMark/>
          </w:tcPr>
          <w:p w14:paraId="7705BFF5" w14:textId="77777777" w:rsidR="00C8518A" w:rsidRPr="00A178DB" w:rsidRDefault="00C8518A" w:rsidP="003C37A4">
            <w:pPr>
              <w:rPr>
                <w:rFonts w:cs="Arial"/>
              </w:rPr>
            </w:pPr>
            <w:r w:rsidRPr="00A178DB">
              <w:rPr>
                <w:rFonts w:cs="Arial"/>
              </w:rPr>
              <w:t>120 capsules</w:t>
            </w:r>
          </w:p>
        </w:tc>
        <w:tc>
          <w:tcPr>
            <w:tcW w:w="901" w:type="pct"/>
            <w:hideMark/>
          </w:tcPr>
          <w:p w14:paraId="32A2109E" w14:textId="77777777" w:rsidR="00C8518A" w:rsidRPr="00A178DB" w:rsidRDefault="00C8518A" w:rsidP="003C37A4">
            <w:pPr>
              <w:rPr>
                <w:rFonts w:cs="Arial"/>
              </w:rPr>
            </w:pPr>
            <w:r w:rsidRPr="00A178DB">
              <w:rPr>
                <w:rFonts w:cs="Arial"/>
              </w:rPr>
              <w:t>360 capsules</w:t>
            </w:r>
          </w:p>
        </w:tc>
      </w:tr>
      <w:tr w:rsidR="00C8518A" w:rsidRPr="00A178DB" w14:paraId="6132876A" w14:textId="77777777" w:rsidTr="00D95B66">
        <w:trPr>
          <w:trHeight w:val="389"/>
          <w:jc w:val="center"/>
        </w:trPr>
        <w:tc>
          <w:tcPr>
            <w:tcW w:w="3178" w:type="pct"/>
            <w:hideMark/>
          </w:tcPr>
          <w:p w14:paraId="37CD2F5B" w14:textId="77777777" w:rsidR="00C8518A" w:rsidRPr="00A178DB" w:rsidRDefault="00C8518A" w:rsidP="003C37A4">
            <w:pPr>
              <w:rPr>
                <w:rFonts w:cs="Arial"/>
              </w:rPr>
            </w:pPr>
            <w:r w:rsidRPr="00A178DB">
              <w:rPr>
                <w:rFonts w:cs="Arial"/>
              </w:rPr>
              <w:t>Adderall XR (amphetamine-dextroamphetamine extended-release) 15 mg, 20 mg, 25 mg, 30 mg</w:t>
            </w:r>
          </w:p>
        </w:tc>
        <w:tc>
          <w:tcPr>
            <w:tcW w:w="921" w:type="pct"/>
            <w:hideMark/>
          </w:tcPr>
          <w:p w14:paraId="559E7692" w14:textId="77777777" w:rsidR="00C8518A" w:rsidRPr="00A178DB" w:rsidRDefault="00C8518A" w:rsidP="003C37A4">
            <w:pPr>
              <w:rPr>
                <w:rFonts w:cs="Arial"/>
              </w:rPr>
            </w:pPr>
            <w:r w:rsidRPr="00A178DB">
              <w:rPr>
                <w:rFonts w:cs="Arial"/>
              </w:rPr>
              <w:t>60 capsules</w:t>
            </w:r>
          </w:p>
        </w:tc>
        <w:tc>
          <w:tcPr>
            <w:tcW w:w="901" w:type="pct"/>
            <w:hideMark/>
          </w:tcPr>
          <w:p w14:paraId="3B37A7F0" w14:textId="77777777" w:rsidR="00C8518A" w:rsidRPr="00A178DB" w:rsidRDefault="00C8518A" w:rsidP="003C37A4">
            <w:pPr>
              <w:rPr>
                <w:rFonts w:cs="Arial"/>
              </w:rPr>
            </w:pPr>
            <w:r w:rsidRPr="00A178DB">
              <w:rPr>
                <w:rFonts w:cs="Arial"/>
              </w:rPr>
              <w:t>180 capsules</w:t>
            </w:r>
          </w:p>
        </w:tc>
      </w:tr>
      <w:tr w:rsidR="00C8518A" w:rsidRPr="00A178DB" w14:paraId="6652417F" w14:textId="77777777" w:rsidTr="00D95B66">
        <w:trPr>
          <w:trHeight w:val="389"/>
          <w:jc w:val="center"/>
        </w:trPr>
        <w:tc>
          <w:tcPr>
            <w:tcW w:w="3178" w:type="pct"/>
            <w:hideMark/>
          </w:tcPr>
          <w:p w14:paraId="6A81D68E" w14:textId="77777777" w:rsidR="00C8518A" w:rsidRPr="00A178DB" w:rsidRDefault="00C8518A" w:rsidP="003C37A4">
            <w:pPr>
              <w:rPr>
                <w:rFonts w:cs="Arial"/>
              </w:rPr>
            </w:pPr>
            <w:r w:rsidRPr="00A178DB">
              <w:t>Adzenys XR-ODT 3.1 mg, 6.3 mg, 9.4 mg</w:t>
            </w:r>
          </w:p>
        </w:tc>
        <w:tc>
          <w:tcPr>
            <w:tcW w:w="921" w:type="pct"/>
            <w:hideMark/>
          </w:tcPr>
          <w:p w14:paraId="1210F8C1" w14:textId="77777777" w:rsidR="00C8518A" w:rsidRPr="00A178DB" w:rsidRDefault="00C8518A" w:rsidP="003C37A4">
            <w:pPr>
              <w:rPr>
                <w:rFonts w:cs="Arial"/>
              </w:rPr>
            </w:pPr>
            <w:r w:rsidRPr="00A178DB">
              <w:rPr>
                <w:rFonts w:cs="Arial"/>
              </w:rPr>
              <w:t>120 tablets</w:t>
            </w:r>
          </w:p>
        </w:tc>
        <w:tc>
          <w:tcPr>
            <w:tcW w:w="901" w:type="pct"/>
            <w:hideMark/>
          </w:tcPr>
          <w:p w14:paraId="3023BE8F" w14:textId="77777777" w:rsidR="00C8518A" w:rsidRPr="00A178DB" w:rsidRDefault="00C8518A" w:rsidP="003C37A4">
            <w:pPr>
              <w:rPr>
                <w:rFonts w:cs="Arial"/>
              </w:rPr>
            </w:pPr>
            <w:r w:rsidRPr="00A178DB">
              <w:rPr>
                <w:rFonts w:cs="Arial"/>
              </w:rPr>
              <w:t>360 tablets</w:t>
            </w:r>
          </w:p>
        </w:tc>
      </w:tr>
      <w:tr w:rsidR="00C8518A" w:rsidRPr="00A178DB" w14:paraId="160AFDF8" w14:textId="77777777" w:rsidTr="00D95B66">
        <w:trPr>
          <w:trHeight w:val="389"/>
          <w:jc w:val="center"/>
        </w:trPr>
        <w:tc>
          <w:tcPr>
            <w:tcW w:w="3178" w:type="pct"/>
            <w:hideMark/>
          </w:tcPr>
          <w:p w14:paraId="7CA7A543" w14:textId="77777777" w:rsidR="00C8518A" w:rsidRPr="00A178DB" w:rsidRDefault="00C8518A" w:rsidP="003C37A4">
            <w:pPr>
              <w:rPr>
                <w:rFonts w:cs="Arial"/>
              </w:rPr>
            </w:pPr>
            <w:r w:rsidRPr="00A178DB">
              <w:t>Adzenys XR-ODT 12.5 mg, 15.7 mg, 18.8 mg</w:t>
            </w:r>
          </w:p>
        </w:tc>
        <w:tc>
          <w:tcPr>
            <w:tcW w:w="921" w:type="pct"/>
            <w:hideMark/>
          </w:tcPr>
          <w:p w14:paraId="467BEC68" w14:textId="77777777" w:rsidR="00C8518A" w:rsidRPr="00A178DB" w:rsidRDefault="00C8518A" w:rsidP="003C37A4">
            <w:pPr>
              <w:rPr>
                <w:rFonts w:cs="Arial"/>
              </w:rPr>
            </w:pPr>
            <w:r w:rsidRPr="00A178DB">
              <w:rPr>
                <w:rFonts w:cs="Arial"/>
              </w:rPr>
              <w:t>60 tablets</w:t>
            </w:r>
          </w:p>
        </w:tc>
        <w:tc>
          <w:tcPr>
            <w:tcW w:w="901" w:type="pct"/>
            <w:hideMark/>
          </w:tcPr>
          <w:p w14:paraId="1B292F5F" w14:textId="77777777" w:rsidR="00C8518A" w:rsidRPr="00A178DB" w:rsidRDefault="00C8518A" w:rsidP="003C37A4">
            <w:pPr>
              <w:rPr>
                <w:rFonts w:cs="Arial"/>
              </w:rPr>
            </w:pPr>
            <w:r w:rsidRPr="00A178DB">
              <w:rPr>
                <w:rFonts w:cs="Arial"/>
              </w:rPr>
              <w:t>180 tablets</w:t>
            </w:r>
          </w:p>
        </w:tc>
      </w:tr>
      <w:tr w:rsidR="00C8518A" w:rsidRPr="00A178DB" w14:paraId="678D2C86" w14:textId="77777777" w:rsidTr="00D95B66">
        <w:trPr>
          <w:trHeight w:val="389"/>
          <w:jc w:val="center"/>
        </w:trPr>
        <w:tc>
          <w:tcPr>
            <w:tcW w:w="3178" w:type="pct"/>
            <w:hideMark/>
          </w:tcPr>
          <w:p w14:paraId="3EBDDE3F" w14:textId="722647E8" w:rsidR="00C8518A" w:rsidRPr="00A178DB" w:rsidRDefault="00C8518A" w:rsidP="003C37A4">
            <w:pPr>
              <w:rPr>
                <w:rFonts w:cs="Arial"/>
              </w:rPr>
            </w:pPr>
            <w:r w:rsidRPr="00A178DB">
              <w:t>Aptensio XR (methylphenidate extended-release) 10 mg, 15 mg, 20 mg, 30 mg</w:t>
            </w:r>
          </w:p>
        </w:tc>
        <w:tc>
          <w:tcPr>
            <w:tcW w:w="921" w:type="pct"/>
            <w:hideMark/>
          </w:tcPr>
          <w:p w14:paraId="1503F7D9" w14:textId="77777777" w:rsidR="00C8518A" w:rsidRPr="00A178DB" w:rsidRDefault="00C8518A" w:rsidP="003C37A4">
            <w:pPr>
              <w:tabs>
                <w:tab w:val="center" w:pos="1728"/>
              </w:tabs>
              <w:rPr>
                <w:rFonts w:cs="Arial"/>
              </w:rPr>
            </w:pPr>
            <w:r w:rsidRPr="00A178DB">
              <w:rPr>
                <w:rFonts w:cs="Arial"/>
              </w:rPr>
              <w:t>90 capsules</w:t>
            </w:r>
          </w:p>
        </w:tc>
        <w:tc>
          <w:tcPr>
            <w:tcW w:w="901" w:type="pct"/>
            <w:hideMark/>
          </w:tcPr>
          <w:p w14:paraId="5447F4F5" w14:textId="77777777" w:rsidR="00C8518A" w:rsidRPr="00A178DB" w:rsidRDefault="00C8518A" w:rsidP="003C37A4">
            <w:pPr>
              <w:rPr>
                <w:rFonts w:cs="Arial"/>
              </w:rPr>
            </w:pPr>
            <w:r w:rsidRPr="00A178DB">
              <w:rPr>
                <w:rFonts w:cs="Arial"/>
              </w:rPr>
              <w:t>270 capsules</w:t>
            </w:r>
          </w:p>
        </w:tc>
      </w:tr>
      <w:tr w:rsidR="00C8518A" w:rsidRPr="00A178DB" w14:paraId="6221F915" w14:textId="77777777" w:rsidTr="00D95B66">
        <w:trPr>
          <w:trHeight w:val="389"/>
          <w:jc w:val="center"/>
        </w:trPr>
        <w:tc>
          <w:tcPr>
            <w:tcW w:w="3178" w:type="pct"/>
            <w:hideMark/>
          </w:tcPr>
          <w:p w14:paraId="2DF2027F" w14:textId="1D14A676" w:rsidR="00C8518A" w:rsidRPr="00A178DB" w:rsidRDefault="00C8518A" w:rsidP="003C37A4">
            <w:pPr>
              <w:rPr>
                <w:rFonts w:cs="Arial"/>
              </w:rPr>
            </w:pPr>
            <w:r w:rsidRPr="00A178DB">
              <w:t>Aptensio XR (methylphenidate extended-release) 40 mg, 50 mg</w:t>
            </w:r>
          </w:p>
        </w:tc>
        <w:tc>
          <w:tcPr>
            <w:tcW w:w="921" w:type="pct"/>
            <w:hideMark/>
          </w:tcPr>
          <w:p w14:paraId="3856989B" w14:textId="77777777" w:rsidR="00C8518A" w:rsidRPr="00A178DB" w:rsidRDefault="00C8518A" w:rsidP="003C37A4">
            <w:pPr>
              <w:tabs>
                <w:tab w:val="center" w:pos="1728"/>
              </w:tabs>
              <w:rPr>
                <w:rFonts w:cs="Arial"/>
              </w:rPr>
            </w:pPr>
            <w:r w:rsidRPr="00A178DB">
              <w:rPr>
                <w:rFonts w:cs="Arial"/>
              </w:rPr>
              <w:t>60 capsules</w:t>
            </w:r>
          </w:p>
        </w:tc>
        <w:tc>
          <w:tcPr>
            <w:tcW w:w="901" w:type="pct"/>
            <w:hideMark/>
          </w:tcPr>
          <w:p w14:paraId="6D293D4F" w14:textId="77777777" w:rsidR="00C8518A" w:rsidRPr="00A178DB" w:rsidRDefault="00C8518A" w:rsidP="003C37A4">
            <w:pPr>
              <w:rPr>
                <w:rFonts w:cs="Arial"/>
              </w:rPr>
            </w:pPr>
            <w:r w:rsidRPr="00A178DB">
              <w:rPr>
                <w:rFonts w:cs="Arial"/>
              </w:rPr>
              <w:t>180 capsules</w:t>
            </w:r>
          </w:p>
        </w:tc>
      </w:tr>
      <w:tr w:rsidR="00C8518A" w:rsidRPr="00A178DB" w14:paraId="293F9CB6" w14:textId="77777777" w:rsidTr="00D95B66">
        <w:trPr>
          <w:trHeight w:val="389"/>
          <w:jc w:val="center"/>
        </w:trPr>
        <w:tc>
          <w:tcPr>
            <w:tcW w:w="3178" w:type="pct"/>
            <w:hideMark/>
          </w:tcPr>
          <w:p w14:paraId="4C5D7E5C" w14:textId="77777777" w:rsidR="00C8518A" w:rsidRPr="00A178DB" w:rsidRDefault="00C8518A" w:rsidP="003C37A4">
            <w:pPr>
              <w:rPr>
                <w:rFonts w:cs="Arial"/>
              </w:rPr>
            </w:pPr>
            <w:r w:rsidRPr="00A178DB">
              <w:rPr>
                <w:rFonts w:cs="Arial"/>
              </w:rPr>
              <w:t>Concerta (methylphenidate osmotic extended-release) 18 mg, 27 mg, 36 mg</w:t>
            </w:r>
          </w:p>
        </w:tc>
        <w:tc>
          <w:tcPr>
            <w:tcW w:w="921" w:type="pct"/>
            <w:hideMark/>
          </w:tcPr>
          <w:p w14:paraId="39C56032" w14:textId="77777777" w:rsidR="00C8518A" w:rsidRPr="00A178DB" w:rsidRDefault="00C8518A" w:rsidP="003C37A4">
            <w:pPr>
              <w:rPr>
                <w:rFonts w:cs="Arial"/>
              </w:rPr>
            </w:pPr>
            <w:r w:rsidRPr="00A178DB">
              <w:rPr>
                <w:rFonts w:cs="Arial"/>
              </w:rPr>
              <w:t>90 tablets</w:t>
            </w:r>
          </w:p>
        </w:tc>
        <w:tc>
          <w:tcPr>
            <w:tcW w:w="901" w:type="pct"/>
            <w:hideMark/>
          </w:tcPr>
          <w:p w14:paraId="640830A9" w14:textId="77777777" w:rsidR="00C8518A" w:rsidRPr="00A178DB" w:rsidRDefault="00C8518A" w:rsidP="003C37A4">
            <w:pPr>
              <w:rPr>
                <w:rFonts w:cs="Arial"/>
              </w:rPr>
            </w:pPr>
            <w:r w:rsidRPr="00A178DB">
              <w:rPr>
                <w:rFonts w:cs="Arial"/>
              </w:rPr>
              <w:t>270 tablets</w:t>
            </w:r>
          </w:p>
        </w:tc>
      </w:tr>
      <w:tr w:rsidR="00C8518A" w:rsidRPr="00A178DB" w14:paraId="1CA0ED1A" w14:textId="77777777" w:rsidTr="00D95B66">
        <w:trPr>
          <w:trHeight w:val="389"/>
          <w:jc w:val="center"/>
        </w:trPr>
        <w:tc>
          <w:tcPr>
            <w:tcW w:w="3178" w:type="pct"/>
            <w:hideMark/>
          </w:tcPr>
          <w:p w14:paraId="086BB961" w14:textId="77777777" w:rsidR="00C8518A" w:rsidRPr="00A178DB" w:rsidRDefault="00C8518A" w:rsidP="003C37A4">
            <w:pPr>
              <w:rPr>
                <w:rFonts w:cs="Arial"/>
              </w:rPr>
            </w:pPr>
            <w:r w:rsidRPr="00A178DB">
              <w:rPr>
                <w:rFonts w:cs="Arial"/>
              </w:rPr>
              <w:t>Concerta (methylphenidate osmotic extended-release) 54 mg</w:t>
            </w:r>
          </w:p>
        </w:tc>
        <w:tc>
          <w:tcPr>
            <w:tcW w:w="921" w:type="pct"/>
            <w:hideMark/>
          </w:tcPr>
          <w:p w14:paraId="27B367C0" w14:textId="77777777" w:rsidR="00C8518A" w:rsidRPr="00A178DB" w:rsidRDefault="00C8518A" w:rsidP="003C37A4">
            <w:pPr>
              <w:rPr>
                <w:rFonts w:cs="Arial"/>
              </w:rPr>
            </w:pPr>
            <w:r w:rsidRPr="00A178DB">
              <w:rPr>
                <w:rFonts w:cs="Arial"/>
              </w:rPr>
              <w:t>60 tablets</w:t>
            </w:r>
          </w:p>
        </w:tc>
        <w:tc>
          <w:tcPr>
            <w:tcW w:w="901" w:type="pct"/>
            <w:hideMark/>
          </w:tcPr>
          <w:p w14:paraId="289FFC5B" w14:textId="77777777" w:rsidR="00C8518A" w:rsidRPr="00A178DB" w:rsidRDefault="00C8518A" w:rsidP="003C37A4">
            <w:pPr>
              <w:rPr>
                <w:rFonts w:cs="Arial"/>
              </w:rPr>
            </w:pPr>
            <w:r w:rsidRPr="00A178DB">
              <w:rPr>
                <w:rFonts w:cs="Arial"/>
              </w:rPr>
              <w:t>180 tablets</w:t>
            </w:r>
          </w:p>
        </w:tc>
      </w:tr>
      <w:tr w:rsidR="00C8518A" w:rsidRPr="00A178DB" w14:paraId="4F08FE93" w14:textId="77777777" w:rsidTr="00D95B66">
        <w:trPr>
          <w:trHeight w:val="389"/>
          <w:jc w:val="center"/>
        </w:trPr>
        <w:tc>
          <w:tcPr>
            <w:tcW w:w="3178" w:type="pct"/>
            <w:hideMark/>
          </w:tcPr>
          <w:p w14:paraId="64B4C134" w14:textId="77777777" w:rsidR="00C8518A" w:rsidRPr="00A178DB" w:rsidRDefault="00C8518A" w:rsidP="003C37A4">
            <w:pPr>
              <w:rPr>
                <w:rFonts w:cs="Arial"/>
                <w:lang w:val="pt-BR"/>
              </w:rPr>
            </w:pPr>
            <w:r w:rsidRPr="00A178DB">
              <w:rPr>
                <w:rFonts w:cs="Arial"/>
                <w:lang w:val="pt-BR"/>
              </w:rPr>
              <w:t>Cotempla XR-ODT 8.6 mg, 17.3 mg</w:t>
            </w:r>
          </w:p>
        </w:tc>
        <w:tc>
          <w:tcPr>
            <w:tcW w:w="921" w:type="pct"/>
            <w:hideMark/>
          </w:tcPr>
          <w:p w14:paraId="0564E207" w14:textId="77777777" w:rsidR="00C8518A" w:rsidRPr="00A178DB" w:rsidRDefault="00C8518A" w:rsidP="003C37A4">
            <w:pPr>
              <w:rPr>
                <w:rFonts w:cs="Arial"/>
              </w:rPr>
            </w:pPr>
            <w:r w:rsidRPr="00A178DB">
              <w:rPr>
                <w:rFonts w:cs="Arial"/>
              </w:rPr>
              <w:t>120 tablets</w:t>
            </w:r>
          </w:p>
        </w:tc>
        <w:tc>
          <w:tcPr>
            <w:tcW w:w="901" w:type="pct"/>
            <w:hideMark/>
          </w:tcPr>
          <w:p w14:paraId="0A3FDCDF" w14:textId="77777777" w:rsidR="00C8518A" w:rsidRPr="00A178DB" w:rsidRDefault="00C8518A" w:rsidP="003C37A4">
            <w:pPr>
              <w:rPr>
                <w:rFonts w:cs="Arial"/>
              </w:rPr>
            </w:pPr>
            <w:r w:rsidRPr="00A178DB">
              <w:rPr>
                <w:rFonts w:cs="Arial"/>
              </w:rPr>
              <w:t>360 tablets</w:t>
            </w:r>
          </w:p>
        </w:tc>
      </w:tr>
      <w:tr w:rsidR="00C8518A" w:rsidRPr="00A178DB" w14:paraId="72286613" w14:textId="77777777" w:rsidTr="00D95B66">
        <w:trPr>
          <w:trHeight w:val="389"/>
          <w:jc w:val="center"/>
        </w:trPr>
        <w:tc>
          <w:tcPr>
            <w:tcW w:w="3178" w:type="pct"/>
            <w:hideMark/>
          </w:tcPr>
          <w:p w14:paraId="271B23A6" w14:textId="77777777" w:rsidR="00C8518A" w:rsidRPr="00A178DB" w:rsidRDefault="00C8518A" w:rsidP="003C37A4">
            <w:pPr>
              <w:rPr>
                <w:rFonts w:cs="Arial"/>
              </w:rPr>
            </w:pPr>
            <w:r w:rsidRPr="00A178DB">
              <w:rPr>
                <w:rFonts w:cs="Arial"/>
              </w:rPr>
              <w:t>Cotempla XR-ODT 25.9 mg</w:t>
            </w:r>
          </w:p>
        </w:tc>
        <w:tc>
          <w:tcPr>
            <w:tcW w:w="921" w:type="pct"/>
            <w:hideMark/>
          </w:tcPr>
          <w:p w14:paraId="57334D67" w14:textId="77777777" w:rsidR="00C8518A" w:rsidRPr="00A178DB" w:rsidRDefault="00C8518A" w:rsidP="003C37A4">
            <w:pPr>
              <w:rPr>
                <w:rFonts w:cs="Arial"/>
              </w:rPr>
            </w:pPr>
            <w:r w:rsidRPr="00A178DB">
              <w:rPr>
                <w:rFonts w:cs="Arial"/>
              </w:rPr>
              <w:t>90 tablets</w:t>
            </w:r>
          </w:p>
        </w:tc>
        <w:tc>
          <w:tcPr>
            <w:tcW w:w="901" w:type="pct"/>
            <w:hideMark/>
          </w:tcPr>
          <w:p w14:paraId="662D47CD" w14:textId="77777777" w:rsidR="00C8518A" w:rsidRPr="00A178DB" w:rsidRDefault="00C8518A" w:rsidP="003C37A4">
            <w:pPr>
              <w:rPr>
                <w:rFonts w:cs="Arial"/>
              </w:rPr>
            </w:pPr>
            <w:r w:rsidRPr="00A178DB">
              <w:rPr>
                <w:rFonts w:cs="Arial"/>
              </w:rPr>
              <w:t xml:space="preserve">270 tablets </w:t>
            </w:r>
          </w:p>
        </w:tc>
      </w:tr>
      <w:tr w:rsidR="00C8518A" w:rsidRPr="00A178DB" w14:paraId="589C8513" w14:textId="77777777" w:rsidTr="00D95B66">
        <w:trPr>
          <w:trHeight w:val="389"/>
          <w:jc w:val="center"/>
        </w:trPr>
        <w:tc>
          <w:tcPr>
            <w:tcW w:w="3178" w:type="pct"/>
          </w:tcPr>
          <w:p w14:paraId="12E0E89B" w14:textId="1EA1B4DE" w:rsidR="00C8518A" w:rsidRPr="00A178DB" w:rsidRDefault="00C8518A" w:rsidP="003C37A4">
            <w:pPr>
              <w:rPr>
                <w:rFonts w:cs="Arial"/>
              </w:rPr>
            </w:pPr>
            <w:r w:rsidRPr="00A178DB">
              <w:rPr>
                <w:rFonts w:cs="Arial"/>
              </w:rPr>
              <w:t>Dexedrine Spansule (dextroamphetamine sustained-release) 10 mg</w:t>
            </w:r>
          </w:p>
        </w:tc>
        <w:tc>
          <w:tcPr>
            <w:tcW w:w="921" w:type="pct"/>
          </w:tcPr>
          <w:p w14:paraId="594845F8" w14:textId="77777777" w:rsidR="00C8518A" w:rsidRPr="00A178DB" w:rsidRDefault="00C8518A" w:rsidP="003C37A4">
            <w:pPr>
              <w:rPr>
                <w:rFonts w:cs="Arial"/>
              </w:rPr>
            </w:pPr>
            <w:r w:rsidRPr="00A178DB">
              <w:rPr>
                <w:rFonts w:cs="Arial"/>
              </w:rPr>
              <w:t>150 capsules</w:t>
            </w:r>
          </w:p>
        </w:tc>
        <w:tc>
          <w:tcPr>
            <w:tcW w:w="901" w:type="pct"/>
          </w:tcPr>
          <w:p w14:paraId="44B115C2" w14:textId="77777777" w:rsidR="00C8518A" w:rsidRPr="00A178DB" w:rsidRDefault="00C8518A" w:rsidP="003C37A4">
            <w:pPr>
              <w:rPr>
                <w:rFonts w:cs="Arial"/>
              </w:rPr>
            </w:pPr>
            <w:r w:rsidRPr="00A178DB">
              <w:rPr>
                <w:rFonts w:cs="Arial"/>
              </w:rPr>
              <w:t>450 capsules</w:t>
            </w:r>
          </w:p>
        </w:tc>
      </w:tr>
      <w:tr w:rsidR="00C8518A" w:rsidRPr="00A178DB" w14:paraId="0682BA3E" w14:textId="77777777" w:rsidTr="00D95B66">
        <w:trPr>
          <w:trHeight w:val="389"/>
          <w:jc w:val="center"/>
        </w:trPr>
        <w:tc>
          <w:tcPr>
            <w:tcW w:w="3178" w:type="pct"/>
          </w:tcPr>
          <w:p w14:paraId="07A9FC54" w14:textId="77777777" w:rsidR="00C8518A" w:rsidRPr="00A178DB" w:rsidRDefault="00C8518A" w:rsidP="003C37A4">
            <w:pPr>
              <w:rPr>
                <w:rFonts w:cs="Arial"/>
              </w:rPr>
            </w:pPr>
            <w:r w:rsidRPr="00A178DB">
              <w:rPr>
                <w:rFonts w:cs="Arial"/>
              </w:rPr>
              <w:t>Dexedrine Spansule (dextroamphetamine sustained-release) 15 mg</w:t>
            </w:r>
          </w:p>
        </w:tc>
        <w:tc>
          <w:tcPr>
            <w:tcW w:w="921" w:type="pct"/>
          </w:tcPr>
          <w:p w14:paraId="1F41CE80" w14:textId="77777777" w:rsidR="00C8518A" w:rsidRPr="00A178DB" w:rsidRDefault="00C8518A" w:rsidP="003C37A4">
            <w:pPr>
              <w:rPr>
                <w:rFonts w:cs="Arial"/>
              </w:rPr>
            </w:pPr>
            <w:r w:rsidRPr="00A178DB">
              <w:rPr>
                <w:rFonts w:cs="Arial"/>
              </w:rPr>
              <w:t>120 capsules</w:t>
            </w:r>
          </w:p>
        </w:tc>
        <w:tc>
          <w:tcPr>
            <w:tcW w:w="901" w:type="pct"/>
          </w:tcPr>
          <w:p w14:paraId="3A9BCFE1" w14:textId="77777777" w:rsidR="00C8518A" w:rsidRPr="00A178DB" w:rsidRDefault="00C8518A" w:rsidP="003C37A4">
            <w:pPr>
              <w:rPr>
                <w:rFonts w:cs="Arial"/>
              </w:rPr>
            </w:pPr>
            <w:r w:rsidRPr="00A178DB">
              <w:rPr>
                <w:rFonts w:cs="Arial"/>
              </w:rPr>
              <w:t>360 capsules</w:t>
            </w:r>
          </w:p>
        </w:tc>
      </w:tr>
      <w:tr w:rsidR="005B460B" w:rsidRPr="00A178DB" w14:paraId="4E34292D" w14:textId="77777777" w:rsidTr="00D95B66">
        <w:trPr>
          <w:trHeight w:val="389"/>
          <w:jc w:val="center"/>
        </w:trPr>
        <w:tc>
          <w:tcPr>
            <w:tcW w:w="3178" w:type="pct"/>
          </w:tcPr>
          <w:p w14:paraId="4E8BCB82" w14:textId="0234359D" w:rsidR="005B460B" w:rsidRPr="00A178DB" w:rsidRDefault="005B460B" w:rsidP="005B460B">
            <w:pPr>
              <w:rPr>
                <w:rFonts w:cs="Arial"/>
              </w:rPr>
            </w:pPr>
            <w:r>
              <w:rPr>
                <w:rFonts w:cs="Arial"/>
              </w:rPr>
              <w:t>Dextroamphetamine extended-release 5 mg</w:t>
            </w:r>
          </w:p>
        </w:tc>
        <w:tc>
          <w:tcPr>
            <w:tcW w:w="921" w:type="pct"/>
          </w:tcPr>
          <w:p w14:paraId="640B16D6" w14:textId="27F9713F" w:rsidR="005B460B" w:rsidRPr="00A178DB" w:rsidRDefault="005B460B" w:rsidP="005B460B">
            <w:pPr>
              <w:rPr>
                <w:rFonts w:cs="Arial"/>
              </w:rPr>
            </w:pPr>
            <w:r>
              <w:rPr>
                <w:rFonts w:cs="Arial"/>
              </w:rPr>
              <w:t>150 capsules</w:t>
            </w:r>
          </w:p>
        </w:tc>
        <w:tc>
          <w:tcPr>
            <w:tcW w:w="901" w:type="pct"/>
          </w:tcPr>
          <w:p w14:paraId="1877FD11" w14:textId="277A53FC" w:rsidR="005B460B" w:rsidRPr="00A178DB" w:rsidRDefault="005B460B" w:rsidP="005B460B">
            <w:pPr>
              <w:rPr>
                <w:rFonts w:cs="Arial"/>
              </w:rPr>
            </w:pPr>
            <w:r>
              <w:rPr>
                <w:rFonts w:cs="Arial"/>
              </w:rPr>
              <w:t>450 capsules</w:t>
            </w:r>
          </w:p>
        </w:tc>
      </w:tr>
      <w:tr w:rsidR="005B460B" w:rsidRPr="00A178DB" w14:paraId="37FA3E9B" w14:textId="21408D0C" w:rsidTr="00D95B66">
        <w:trPr>
          <w:trHeight w:val="389"/>
          <w:jc w:val="center"/>
        </w:trPr>
        <w:tc>
          <w:tcPr>
            <w:tcW w:w="3178" w:type="pct"/>
            <w:hideMark/>
          </w:tcPr>
          <w:p w14:paraId="602F8548" w14:textId="25F70877" w:rsidR="005B460B" w:rsidRPr="00A178DB" w:rsidRDefault="005B460B" w:rsidP="005B460B">
            <w:pPr>
              <w:rPr>
                <w:rFonts w:cs="Arial"/>
              </w:rPr>
            </w:pPr>
            <w:r w:rsidRPr="00A178DB">
              <w:rPr>
                <w:rFonts w:cs="Arial"/>
              </w:rPr>
              <w:t>Dextroamphetamine 5 mg, 10 mg</w:t>
            </w:r>
          </w:p>
        </w:tc>
        <w:tc>
          <w:tcPr>
            <w:tcW w:w="921" w:type="pct"/>
            <w:hideMark/>
          </w:tcPr>
          <w:p w14:paraId="1A19142B" w14:textId="2A93A4A5" w:rsidR="005B460B" w:rsidRPr="00A178DB" w:rsidRDefault="005B460B" w:rsidP="005B460B">
            <w:pPr>
              <w:rPr>
                <w:rFonts w:cs="Arial"/>
              </w:rPr>
            </w:pPr>
            <w:r w:rsidRPr="00A178DB">
              <w:rPr>
                <w:rFonts w:cs="Arial"/>
              </w:rPr>
              <w:t>180 tablets</w:t>
            </w:r>
          </w:p>
        </w:tc>
        <w:tc>
          <w:tcPr>
            <w:tcW w:w="901" w:type="pct"/>
            <w:hideMark/>
          </w:tcPr>
          <w:p w14:paraId="4F277682" w14:textId="52C3166F" w:rsidR="005B460B" w:rsidRPr="00A178DB" w:rsidRDefault="005B460B" w:rsidP="005B460B">
            <w:pPr>
              <w:rPr>
                <w:rFonts w:cs="Arial"/>
              </w:rPr>
            </w:pPr>
            <w:r w:rsidRPr="00A178DB">
              <w:rPr>
                <w:rFonts w:cs="Arial"/>
              </w:rPr>
              <w:t>540 tablets</w:t>
            </w:r>
          </w:p>
        </w:tc>
      </w:tr>
      <w:tr w:rsidR="005B460B" w:rsidRPr="00A178DB" w14:paraId="7D856566" w14:textId="77777777" w:rsidTr="00D95B66">
        <w:trPr>
          <w:trHeight w:val="389"/>
          <w:jc w:val="center"/>
        </w:trPr>
        <w:tc>
          <w:tcPr>
            <w:tcW w:w="3178" w:type="pct"/>
            <w:hideMark/>
          </w:tcPr>
          <w:p w14:paraId="164090EF" w14:textId="77777777" w:rsidR="005B460B" w:rsidRPr="00A178DB" w:rsidRDefault="005B460B" w:rsidP="005B460B">
            <w:pPr>
              <w:rPr>
                <w:rFonts w:cs="Arial"/>
              </w:rPr>
            </w:pPr>
            <w:r w:rsidRPr="00A178DB">
              <w:t>Evekeo (amphetamine) 5 mg, 10 mg</w:t>
            </w:r>
          </w:p>
        </w:tc>
        <w:tc>
          <w:tcPr>
            <w:tcW w:w="921" w:type="pct"/>
            <w:hideMark/>
          </w:tcPr>
          <w:p w14:paraId="4604E562" w14:textId="77777777" w:rsidR="005B460B" w:rsidRPr="00A178DB" w:rsidRDefault="005B460B" w:rsidP="005B460B">
            <w:pPr>
              <w:rPr>
                <w:rFonts w:cs="Arial"/>
              </w:rPr>
            </w:pPr>
            <w:r w:rsidRPr="00A178DB">
              <w:rPr>
                <w:rFonts w:cs="Arial"/>
              </w:rPr>
              <w:t>180 tablets</w:t>
            </w:r>
          </w:p>
        </w:tc>
        <w:tc>
          <w:tcPr>
            <w:tcW w:w="901" w:type="pct"/>
            <w:hideMark/>
          </w:tcPr>
          <w:p w14:paraId="44E0C229" w14:textId="77777777" w:rsidR="005B460B" w:rsidRPr="00A178DB" w:rsidRDefault="005B460B" w:rsidP="005B460B">
            <w:pPr>
              <w:rPr>
                <w:rFonts w:cs="Arial"/>
              </w:rPr>
            </w:pPr>
            <w:r w:rsidRPr="00A178DB">
              <w:rPr>
                <w:rFonts w:cs="Arial"/>
              </w:rPr>
              <w:t>540 tablets</w:t>
            </w:r>
          </w:p>
        </w:tc>
      </w:tr>
      <w:tr w:rsidR="005B460B" w:rsidRPr="00A178DB" w14:paraId="3546827C" w14:textId="77777777" w:rsidTr="00D95B66">
        <w:trPr>
          <w:trHeight w:val="389"/>
          <w:jc w:val="center"/>
        </w:trPr>
        <w:tc>
          <w:tcPr>
            <w:tcW w:w="3178" w:type="pct"/>
            <w:hideMark/>
          </w:tcPr>
          <w:p w14:paraId="018FF757" w14:textId="77777777" w:rsidR="005B460B" w:rsidRPr="00A178DB" w:rsidRDefault="005B460B" w:rsidP="005B460B">
            <w:r w:rsidRPr="00A178DB">
              <w:t>Evekeo ODT 5 mg, 10 mg</w:t>
            </w:r>
          </w:p>
        </w:tc>
        <w:tc>
          <w:tcPr>
            <w:tcW w:w="921" w:type="pct"/>
            <w:hideMark/>
          </w:tcPr>
          <w:p w14:paraId="0B106CB2" w14:textId="77777777" w:rsidR="005B460B" w:rsidRPr="00A178DB" w:rsidRDefault="005B460B" w:rsidP="005B460B">
            <w:pPr>
              <w:rPr>
                <w:rFonts w:cs="Arial"/>
              </w:rPr>
            </w:pPr>
            <w:r w:rsidRPr="00A178DB">
              <w:rPr>
                <w:rFonts w:cs="Arial"/>
              </w:rPr>
              <w:t>180 tablets</w:t>
            </w:r>
          </w:p>
        </w:tc>
        <w:tc>
          <w:tcPr>
            <w:tcW w:w="901" w:type="pct"/>
            <w:hideMark/>
          </w:tcPr>
          <w:p w14:paraId="1026A2F6" w14:textId="77777777" w:rsidR="005B460B" w:rsidRPr="00A178DB" w:rsidRDefault="005B460B" w:rsidP="005B460B">
            <w:pPr>
              <w:rPr>
                <w:rFonts w:cs="Arial"/>
              </w:rPr>
            </w:pPr>
            <w:r w:rsidRPr="00A178DB">
              <w:rPr>
                <w:rFonts w:cs="Arial"/>
              </w:rPr>
              <w:t>540 tablets</w:t>
            </w:r>
          </w:p>
        </w:tc>
      </w:tr>
      <w:tr w:rsidR="005B460B" w:rsidRPr="00A178DB" w14:paraId="260C2DD8" w14:textId="77777777" w:rsidTr="00D95B66">
        <w:trPr>
          <w:trHeight w:val="389"/>
          <w:jc w:val="center"/>
        </w:trPr>
        <w:tc>
          <w:tcPr>
            <w:tcW w:w="3178" w:type="pct"/>
            <w:hideMark/>
          </w:tcPr>
          <w:p w14:paraId="6D089956" w14:textId="77777777" w:rsidR="005B460B" w:rsidRPr="00A178DB" w:rsidRDefault="005B460B" w:rsidP="005B460B">
            <w:r w:rsidRPr="00A178DB">
              <w:t>Evekeo ODT 15 mg, 20 mg</w:t>
            </w:r>
          </w:p>
        </w:tc>
        <w:tc>
          <w:tcPr>
            <w:tcW w:w="921" w:type="pct"/>
            <w:hideMark/>
          </w:tcPr>
          <w:p w14:paraId="7DEF68F8" w14:textId="77777777" w:rsidR="005B460B" w:rsidRPr="00A178DB" w:rsidRDefault="005B460B" w:rsidP="005B460B">
            <w:pPr>
              <w:rPr>
                <w:rFonts w:cs="Arial"/>
              </w:rPr>
            </w:pPr>
            <w:r w:rsidRPr="00A178DB">
              <w:rPr>
                <w:rFonts w:cs="Arial"/>
              </w:rPr>
              <w:t>90 tablets</w:t>
            </w:r>
          </w:p>
        </w:tc>
        <w:tc>
          <w:tcPr>
            <w:tcW w:w="901" w:type="pct"/>
            <w:hideMark/>
          </w:tcPr>
          <w:p w14:paraId="649AE9E7" w14:textId="77777777" w:rsidR="005B460B" w:rsidRPr="00A178DB" w:rsidRDefault="005B460B" w:rsidP="005B460B">
            <w:pPr>
              <w:rPr>
                <w:rFonts w:cs="Arial"/>
              </w:rPr>
            </w:pPr>
            <w:r w:rsidRPr="00A178DB">
              <w:rPr>
                <w:rFonts w:cs="Arial"/>
              </w:rPr>
              <w:t xml:space="preserve">270 tablets </w:t>
            </w:r>
          </w:p>
        </w:tc>
      </w:tr>
      <w:tr w:rsidR="005B460B" w:rsidRPr="00A178DB" w14:paraId="2049A737" w14:textId="77777777" w:rsidTr="00D95B66">
        <w:trPr>
          <w:trHeight w:val="389"/>
          <w:jc w:val="center"/>
        </w:trPr>
        <w:tc>
          <w:tcPr>
            <w:tcW w:w="3178" w:type="pct"/>
            <w:hideMark/>
          </w:tcPr>
          <w:p w14:paraId="3C4772AA" w14:textId="77777777" w:rsidR="005B460B" w:rsidRPr="00A178DB" w:rsidRDefault="005B460B" w:rsidP="005B460B">
            <w:pPr>
              <w:rPr>
                <w:rFonts w:cs="Arial"/>
              </w:rPr>
            </w:pPr>
            <w:r w:rsidRPr="00A178DB">
              <w:rPr>
                <w:rFonts w:cs="Arial"/>
              </w:rPr>
              <w:t>Focalin (dexmethylphenidate) 2.5 mg, 5 mg, 10 mg</w:t>
            </w:r>
          </w:p>
        </w:tc>
        <w:tc>
          <w:tcPr>
            <w:tcW w:w="921" w:type="pct"/>
            <w:hideMark/>
          </w:tcPr>
          <w:p w14:paraId="1C06AA45" w14:textId="77777777" w:rsidR="005B460B" w:rsidRPr="00A178DB" w:rsidRDefault="005B460B" w:rsidP="005B460B">
            <w:pPr>
              <w:rPr>
                <w:rFonts w:cs="Arial"/>
              </w:rPr>
            </w:pPr>
            <w:r w:rsidRPr="00A178DB">
              <w:rPr>
                <w:rFonts w:cs="Arial"/>
              </w:rPr>
              <w:t>150 tablets</w:t>
            </w:r>
          </w:p>
        </w:tc>
        <w:tc>
          <w:tcPr>
            <w:tcW w:w="901" w:type="pct"/>
            <w:hideMark/>
          </w:tcPr>
          <w:p w14:paraId="46BEC99F" w14:textId="77777777" w:rsidR="005B460B" w:rsidRPr="00A178DB" w:rsidRDefault="005B460B" w:rsidP="005B460B">
            <w:pPr>
              <w:rPr>
                <w:rFonts w:cs="Arial"/>
              </w:rPr>
            </w:pPr>
            <w:r w:rsidRPr="00A178DB">
              <w:rPr>
                <w:rFonts w:cs="Arial"/>
              </w:rPr>
              <w:t>450 tablets</w:t>
            </w:r>
          </w:p>
        </w:tc>
      </w:tr>
      <w:tr w:rsidR="005B460B" w:rsidRPr="00A178DB" w14:paraId="441B3456" w14:textId="77777777" w:rsidTr="00D95B66">
        <w:trPr>
          <w:trHeight w:val="389"/>
          <w:jc w:val="center"/>
        </w:trPr>
        <w:tc>
          <w:tcPr>
            <w:tcW w:w="3178" w:type="pct"/>
            <w:hideMark/>
          </w:tcPr>
          <w:p w14:paraId="44A0A346" w14:textId="25CB5150" w:rsidR="005B460B" w:rsidRPr="00A178DB" w:rsidRDefault="005B460B" w:rsidP="005B460B">
            <w:pPr>
              <w:rPr>
                <w:rFonts w:cs="Arial"/>
              </w:rPr>
            </w:pPr>
            <w:r w:rsidRPr="00A178DB">
              <w:rPr>
                <w:rFonts w:cs="Arial"/>
              </w:rPr>
              <w:t>Focalin XR (dexmethylphenidate extended-release) 5 mg, 10 mg, 15 mg</w:t>
            </w:r>
          </w:p>
        </w:tc>
        <w:tc>
          <w:tcPr>
            <w:tcW w:w="921" w:type="pct"/>
            <w:hideMark/>
          </w:tcPr>
          <w:p w14:paraId="61A49A68" w14:textId="77777777" w:rsidR="005B460B" w:rsidRPr="00A178DB" w:rsidRDefault="005B460B" w:rsidP="005B460B">
            <w:pPr>
              <w:rPr>
                <w:rFonts w:cs="Arial"/>
              </w:rPr>
            </w:pPr>
            <w:r w:rsidRPr="00A178DB">
              <w:rPr>
                <w:rFonts w:cs="Arial"/>
              </w:rPr>
              <w:t>90 capsules</w:t>
            </w:r>
          </w:p>
        </w:tc>
        <w:tc>
          <w:tcPr>
            <w:tcW w:w="901" w:type="pct"/>
            <w:hideMark/>
          </w:tcPr>
          <w:p w14:paraId="02C469CB" w14:textId="77777777" w:rsidR="005B460B" w:rsidRPr="00A178DB" w:rsidRDefault="005B460B" w:rsidP="005B460B">
            <w:pPr>
              <w:rPr>
                <w:rFonts w:cs="Arial"/>
              </w:rPr>
            </w:pPr>
            <w:r w:rsidRPr="00A178DB">
              <w:rPr>
                <w:rFonts w:cs="Arial"/>
              </w:rPr>
              <w:t>270 capsules</w:t>
            </w:r>
          </w:p>
        </w:tc>
      </w:tr>
      <w:tr w:rsidR="005B460B" w:rsidRPr="00A178DB" w14:paraId="6FE89270" w14:textId="77777777" w:rsidTr="00D95B66">
        <w:trPr>
          <w:trHeight w:val="389"/>
          <w:jc w:val="center"/>
        </w:trPr>
        <w:tc>
          <w:tcPr>
            <w:tcW w:w="3178" w:type="pct"/>
            <w:hideMark/>
          </w:tcPr>
          <w:p w14:paraId="62B3ABCC" w14:textId="64D2CFD7" w:rsidR="005B460B" w:rsidRPr="00A178DB" w:rsidRDefault="005B460B" w:rsidP="005B460B">
            <w:pPr>
              <w:rPr>
                <w:rFonts w:cs="Arial"/>
              </w:rPr>
            </w:pPr>
            <w:r w:rsidRPr="00A178DB">
              <w:rPr>
                <w:rFonts w:cs="Arial"/>
              </w:rPr>
              <w:t>Focalin XR (dexmethylphenidate extended-release) 25 mg</w:t>
            </w:r>
          </w:p>
        </w:tc>
        <w:tc>
          <w:tcPr>
            <w:tcW w:w="921" w:type="pct"/>
            <w:hideMark/>
          </w:tcPr>
          <w:p w14:paraId="21D298D0" w14:textId="77777777" w:rsidR="005B460B" w:rsidRPr="00A178DB" w:rsidRDefault="005B460B" w:rsidP="005B460B">
            <w:pPr>
              <w:rPr>
                <w:rFonts w:cs="Arial"/>
              </w:rPr>
            </w:pPr>
            <w:r w:rsidRPr="00A178DB">
              <w:rPr>
                <w:rFonts w:cs="Arial"/>
              </w:rPr>
              <w:t>60 capsules</w:t>
            </w:r>
          </w:p>
        </w:tc>
        <w:tc>
          <w:tcPr>
            <w:tcW w:w="901" w:type="pct"/>
            <w:hideMark/>
          </w:tcPr>
          <w:p w14:paraId="273D2607" w14:textId="77777777" w:rsidR="005B460B" w:rsidRPr="00A178DB" w:rsidRDefault="005B460B" w:rsidP="005B460B">
            <w:pPr>
              <w:rPr>
                <w:rFonts w:cs="Arial"/>
              </w:rPr>
            </w:pPr>
            <w:r w:rsidRPr="00A178DB">
              <w:rPr>
                <w:rFonts w:cs="Arial"/>
              </w:rPr>
              <w:t>180 capsules</w:t>
            </w:r>
          </w:p>
        </w:tc>
      </w:tr>
      <w:tr w:rsidR="005B460B" w:rsidRPr="00A178DB" w14:paraId="756E7D55" w14:textId="77777777" w:rsidTr="00D95B66">
        <w:trPr>
          <w:trHeight w:val="389"/>
          <w:jc w:val="center"/>
        </w:trPr>
        <w:tc>
          <w:tcPr>
            <w:tcW w:w="3178" w:type="pct"/>
          </w:tcPr>
          <w:p w14:paraId="33F837F8" w14:textId="21FAF06E" w:rsidR="005B460B" w:rsidRPr="00A178DB" w:rsidRDefault="005B460B" w:rsidP="005B460B">
            <w:pPr>
              <w:rPr>
                <w:rFonts w:cs="Arial"/>
              </w:rPr>
            </w:pPr>
            <w:r w:rsidRPr="00A178DB">
              <w:rPr>
                <w:rFonts w:cs="Arial"/>
              </w:rPr>
              <w:t>M</w:t>
            </w:r>
            <w:r>
              <w:rPr>
                <w:rFonts w:cs="Arial"/>
              </w:rPr>
              <w:t>etadate (m</w:t>
            </w:r>
            <w:r w:rsidRPr="00A178DB">
              <w:rPr>
                <w:rFonts w:cs="Arial"/>
              </w:rPr>
              <w:t xml:space="preserve">ethylphenidate extended-release </w:t>
            </w:r>
            <w:r w:rsidR="00B34BA4">
              <w:rPr>
                <w:rFonts w:cs="Arial"/>
              </w:rPr>
              <w:t>[</w:t>
            </w:r>
            <w:r w:rsidRPr="00A178DB">
              <w:rPr>
                <w:rFonts w:cs="Arial"/>
              </w:rPr>
              <w:t>CD</w:t>
            </w:r>
            <w:r w:rsidR="00B34BA4">
              <w:rPr>
                <w:rFonts w:cs="Arial"/>
              </w:rPr>
              <w:t>]</w:t>
            </w:r>
            <w:r>
              <w:rPr>
                <w:rFonts w:cs="Arial"/>
              </w:rPr>
              <w:t>)</w:t>
            </w:r>
            <w:r w:rsidRPr="00A178DB">
              <w:rPr>
                <w:rFonts w:cs="Arial"/>
              </w:rPr>
              <w:t xml:space="preserve"> </w:t>
            </w:r>
            <w:r w:rsidRPr="00A178DB">
              <w:t>10 mg, 20 mg, 30 mg</w:t>
            </w:r>
          </w:p>
        </w:tc>
        <w:tc>
          <w:tcPr>
            <w:tcW w:w="921" w:type="pct"/>
          </w:tcPr>
          <w:p w14:paraId="5487F6D7" w14:textId="1574837F" w:rsidR="005B460B" w:rsidRPr="00A178DB" w:rsidRDefault="005B460B" w:rsidP="005B460B">
            <w:pPr>
              <w:rPr>
                <w:rFonts w:cs="Arial"/>
              </w:rPr>
            </w:pPr>
            <w:r w:rsidRPr="00A178DB">
              <w:rPr>
                <w:rFonts w:cs="Arial"/>
              </w:rPr>
              <w:t>90 capsules</w:t>
            </w:r>
          </w:p>
        </w:tc>
        <w:tc>
          <w:tcPr>
            <w:tcW w:w="901" w:type="pct"/>
          </w:tcPr>
          <w:p w14:paraId="7F157676" w14:textId="31E5633F" w:rsidR="005B460B" w:rsidRPr="00A178DB" w:rsidRDefault="005B460B" w:rsidP="005B460B">
            <w:pPr>
              <w:rPr>
                <w:rFonts w:cs="Arial"/>
              </w:rPr>
            </w:pPr>
            <w:r w:rsidRPr="00A178DB">
              <w:rPr>
                <w:rFonts w:cs="Arial"/>
              </w:rPr>
              <w:t>270 capsules</w:t>
            </w:r>
          </w:p>
        </w:tc>
      </w:tr>
      <w:tr w:rsidR="005B460B" w:rsidRPr="00A178DB" w14:paraId="29F9D8D1" w14:textId="77777777" w:rsidTr="00D95B66">
        <w:trPr>
          <w:trHeight w:val="389"/>
          <w:jc w:val="center"/>
        </w:trPr>
        <w:tc>
          <w:tcPr>
            <w:tcW w:w="3178" w:type="pct"/>
          </w:tcPr>
          <w:p w14:paraId="41D23AF1" w14:textId="02D0EC50" w:rsidR="005B460B" w:rsidRPr="00A178DB" w:rsidRDefault="005B460B" w:rsidP="005B460B">
            <w:pPr>
              <w:rPr>
                <w:rFonts w:cs="Arial"/>
              </w:rPr>
            </w:pPr>
            <w:r w:rsidRPr="00A178DB">
              <w:rPr>
                <w:rFonts w:cs="Arial"/>
              </w:rPr>
              <w:t>M</w:t>
            </w:r>
            <w:r>
              <w:rPr>
                <w:rFonts w:cs="Arial"/>
              </w:rPr>
              <w:t>etadate (m</w:t>
            </w:r>
            <w:r w:rsidRPr="00A178DB">
              <w:rPr>
                <w:rFonts w:cs="Arial"/>
              </w:rPr>
              <w:t xml:space="preserve">ethylphenidate extended-release </w:t>
            </w:r>
            <w:r w:rsidR="00B34BA4">
              <w:rPr>
                <w:rFonts w:cs="Arial"/>
              </w:rPr>
              <w:t>[</w:t>
            </w:r>
            <w:r w:rsidRPr="00A178DB">
              <w:rPr>
                <w:rFonts w:cs="Arial"/>
              </w:rPr>
              <w:t>CD</w:t>
            </w:r>
            <w:r w:rsidR="00B34BA4">
              <w:rPr>
                <w:rFonts w:cs="Arial"/>
              </w:rPr>
              <w:t>]</w:t>
            </w:r>
            <w:r>
              <w:rPr>
                <w:rFonts w:cs="Arial"/>
              </w:rPr>
              <w:t>)</w:t>
            </w:r>
            <w:r w:rsidRPr="00A178DB">
              <w:rPr>
                <w:rFonts w:cs="Arial"/>
              </w:rPr>
              <w:t xml:space="preserve"> 40 mg, 50 mg</w:t>
            </w:r>
          </w:p>
        </w:tc>
        <w:tc>
          <w:tcPr>
            <w:tcW w:w="921" w:type="pct"/>
          </w:tcPr>
          <w:p w14:paraId="392C0D36" w14:textId="481D45FF" w:rsidR="005B460B" w:rsidRPr="00A178DB" w:rsidRDefault="005B460B" w:rsidP="005B460B">
            <w:pPr>
              <w:rPr>
                <w:rFonts w:cs="Arial"/>
              </w:rPr>
            </w:pPr>
            <w:r w:rsidRPr="00A178DB">
              <w:rPr>
                <w:rFonts w:cs="Arial"/>
              </w:rPr>
              <w:t>60 capsules</w:t>
            </w:r>
          </w:p>
        </w:tc>
        <w:tc>
          <w:tcPr>
            <w:tcW w:w="901" w:type="pct"/>
          </w:tcPr>
          <w:p w14:paraId="6A03AC67" w14:textId="261326DF" w:rsidR="005B460B" w:rsidRPr="00A178DB" w:rsidRDefault="005B460B" w:rsidP="005B460B">
            <w:pPr>
              <w:rPr>
                <w:rFonts w:cs="Arial"/>
              </w:rPr>
            </w:pPr>
            <w:r w:rsidRPr="00A178DB">
              <w:rPr>
                <w:rFonts w:cs="Arial"/>
              </w:rPr>
              <w:t>180 capsules</w:t>
            </w:r>
          </w:p>
        </w:tc>
      </w:tr>
      <w:tr w:rsidR="005B460B" w:rsidRPr="00A178DB" w14:paraId="3ECC5071" w14:textId="77777777" w:rsidTr="00D95B66">
        <w:trPr>
          <w:trHeight w:val="389"/>
          <w:jc w:val="center"/>
        </w:trPr>
        <w:tc>
          <w:tcPr>
            <w:tcW w:w="3178" w:type="pct"/>
          </w:tcPr>
          <w:p w14:paraId="4846BFDC" w14:textId="79BADB92" w:rsidR="005B460B" w:rsidRPr="00A178DB" w:rsidRDefault="005B460B" w:rsidP="005B460B">
            <w:pPr>
              <w:rPr>
                <w:rFonts w:cs="Arial"/>
              </w:rPr>
            </w:pPr>
            <w:r w:rsidRPr="00A178DB">
              <w:rPr>
                <w:rFonts w:cs="Arial"/>
              </w:rPr>
              <w:t>Methylin (methylphenidate) oral solution 5 mg</w:t>
            </w:r>
            <w:r w:rsidR="00E81643">
              <w:rPr>
                <w:rFonts w:cs="Arial"/>
              </w:rPr>
              <w:t xml:space="preserve"> </w:t>
            </w:r>
            <w:r w:rsidRPr="00A178DB">
              <w:rPr>
                <w:rFonts w:cs="Arial"/>
              </w:rPr>
              <w:t>/</w:t>
            </w:r>
            <w:r w:rsidR="00E81643">
              <w:rPr>
                <w:rFonts w:cs="Arial"/>
              </w:rPr>
              <w:t xml:space="preserve"> </w:t>
            </w:r>
            <w:r w:rsidRPr="00A178DB">
              <w:rPr>
                <w:rFonts w:cs="Arial"/>
              </w:rPr>
              <w:t>5 mL</w:t>
            </w:r>
          </w:p>
        </w:tc>
        <w:tc>
          <w:tcPr>
            <w:tcW w:w="921" w:type="pct"/>
          </w:tcPr>
          <w:p w14:paraId="5D3B276C" w14:textId="314AD3B1" w:rsidR="005B460B" w:rsidRPr="00A178DB" w:rsidRDefault="007017C5" w:rsidP="005B460B">
            <w:pPr>
              <w:rPr>
                <w:rFonts w:cs="Arial"/>
              </w:rPr>
            </w:pPr>
            <w:r>
              <w:rPr>
                <w:rFonts w:cs="Arial"/>
              </w:rPr>
              <w:t>3</w:t>
            </w:r>
            <w:r w:rsidR="005B460B" w:rsidRPr="00A178DB">
              <w:rPr>
                <w:rFonts w:cs="Arial"/>
              </w:rPr>
              <w:t>,</w:t>
            </w:r>
            <w:r>
              <w:rPr>
                <w:rFonts w:cs="Arial"/>
              </w:rPr>
              <w:t>0</w:t>
            </w:r>
            <w:r w:rsidR="005B460B" w:rsidRPr="00A178DB">
              <w:rPr>
                <w:rFonts w:cs="Arial"/>
              </w:rPr>
              <w:t>00 mL</w:t>
            </w:r>
          </w:p>
        </w:tc>
        <w:tc>
          <w:tcPr>
            <w:tcW w:w="901" w:type="pct"/>
          </w:tcPr>
          <w:p w14:paraId="41644588" w14:textId="2DFBCF34" w:rsidR="005B460B" w:rsidRPr="00A178DB" w:rsidRDefault="007017C5" w:rsidP="005B460B">
            <w:pPr>
              <w:rPr>
                <w:rFonts w:cs="Arial"/>
              </w:rPr>
            </w:pPr>
            <w:r>
              <w:rPr>
                <w:rFonts w:cs="Arial"/>
              </w:rPr>
              <w:t>9</w:t>
            </w:r>
            <w:r w:rsidR="005B460B" w:rsidRPr="00A178DB">
              <w:rPr>
                <w:rFonts w:cs="Arial"/>
              </w:rPr>
              <w:t>,</w:t>
            </w:r>
            <w:r>
              <w:rPr>
                <w:rFonts w:cs="Arial"/>
              </w:rPr>
              <w:t>0</w:t>
            </w:r>
            <w:r w:rsidR="005B460B" w:rsidRPr="00A178DB">
              <w:rPr>
                <w:rFonts w:cs="Arial"/>
              </w:rPr>
              <w:t>00 mL</w:t>
            </w:r>
          </w:p>
        </w:tc>
      </w:tr>
      <w:tr w:rsidR="005B460B" w:rsidRPr="00A178DB" w14:paraId="1A5B03CC" w14:textId="77777777" w:rsidTr="00D95B66">
        <w:trPr>
          <w:trHeight w:val="389"/>
          <w:jc w:val="center"/>
        </w:trPr>
        <w:tc>
          <w:tcPr>
            <w:tcW w:w="3178" w:type="pct"/>
          </w:tcPr>
          <w:p w14:paraId="3F36D751" w14:textId="51FC950F" w:rsidR="005B460B" w:rsidRPr="00A178DB" w:rsidRDefault="005B460B" w:rsidP="005B460B">
            <w:pPr>
              <w:rPr>
                <w:rFonts w:cs="Arial"/>
              </w:rPr>
            </w:pPr>
            <w:r w:rsidRPr="00A178DB">
              <w:rPr>
                <w:rFonts w:cs="Arial"/>
              </w:rPr>
              <w:t>Methylin (methylphenidate) oral solution 10 mg</w:t>
            </w:r>
            <w:r w:rsidR="00E81643">
              <w:rPr>
                <w:rFonts w:cs="Arial"/>
              </w:rPr>
              <w:t xml:space="preserve"> </w:t>
            </w:r>
            <w:r w:rsidRPr="00A178DB">
              <w:rPr>
                <w:rFonts w:cs="Arial"/>
              </w:rPr>
              <w:t>/</w:t>
            </w:r>
            <w:r w:rsidR="00E81643">
              <w:rPr>
                <w:rFonts w:cs="Arial"/>
              </w:rPr>
              <w:t xml:space="preserve"> </w:t>
            </w:r>
            <w:r w:rsidRPr="00A178DB">
              <w:rPr>
                <w:rFonts w:cs="Arial"/>
              </w:rPr>
              <w:t>5 mL</w:t>
            </w:r>
          </w:p>
        </w:tc>
        <w:tc>
          <w:tcPr>
            <w:tcW w:w="921" w:type="pct"/>
          </w:tcPr>
          <w:p w14:paraId="35EF1737" w14:textId="77777777" w:rsidR="005B460B" w:rsidRPr="00A178DB" w:rsidRDefault="005B460B" w:rsidP="005B460B">
            <w:pPr>
              <w:rPr>
                <w:rFonts w:cs="Arial"/>
              </w:rPr>
            </w:pPr>
            <w:r w:rsidRPr="00A178DB">
              <w:rPr>
                <w:rFonts w:cs="Arial"/>
              </w:rPr>
              <w:t>1,500 mL</w:t>
            </w:r>
          </w:p>
        </w:tc>
        <w:tc>
          <w:tcPr>
            <w:tcW w:w="901" w:type="pct"/>
          </w:tcPr>
          <w:p w14:paraId="305A7C30" w14:textId="77777777" w:rsidR="005B460B" w:rsidRPr="00A178DB" w:rsidRDefault="005B460B" w:rsidP="005B460B">
            <w:pPr>
              <w:rPr>
                <w:rFonts w:cs="Arial"/>
              </w:rPr>
            </w:pPr>
            <w:r w:rsidRPr="00A178DB">
              <w:rPr>
                <w:rFonts w:cs="Arial"/>
              </w:rPr>
              <w:t>4,500 mL</w:t>
            </w:r>
          </w:p>
        </w:tc>
      </w:tr>
      <w:tr w:rsidR="005B460B" w:rsidRPr="00A178DB" w14:paraId="441524B9" w14:textId="77777777" w:rsidTr="00D95B66">
        <w:trPr>
          <w:trHeight w:val="389"/>
          <w:jc w:val="center"/>
        </w:trPr>
        <w:tc>
          <w:tcPr>
            <w:tcW w:w="3178" w:type="pct"/>
          </w:tcPr>
          <w:p w14:paraId="30AD7217" w14:textId="77777777" w:rsidR="005B460B" w:rsidRPr="00A178DB" w:rsidRDefault="005B460B" w:rsidP="005B460B">
            <w:pPr>
              <w:rPr>
                <w:rFonts w:cs="Arial"/>
              </w:rPr>
            </w:pPr>
            <w:r w:rsidRPr="00A178DB">
              <w:t>Methylphenidate chewable tablets 2.5 mg, 5 mg, 10 mg</w:t>
            </w:r>
          </w:p>
        </w:tc>
        <w:tc>
          <w:tcPr>
            <w:tcW w:w="921" w:type="pct"/>
          </w:tcPr>
          <w:p w14:paraId="08FEB30D" w14:textId="77777777" w:rsidR="005B460B" w:rsidRPr="00A178DB" w:rsidRDefault="005B460B" w:rsidP="005B460B">
            <w:pPr>
              <w:rPr>
                <w:rFonts w:cs="Arial"/>
              </w:rPr>
            </w:pPr>
            <w:r w:rsidRPr="00A178DB">
              <w:t>300 tablets</w:t>
            </w:r>
          </w:p>
        </w:tc>
        <w:tc>
          <w:tcPr>
            <w:tcW w:w="901" w:type="pct"/>
          </w:tcPr>
          <w:p w14:paraId="2E27B345" w14:textId="77777777" w:rsidR="005B460B" w:rsidRPr="00A178DB" w:rsidRDefault="005B460B" w:rsidP="005B460B">
            <w:pPr>
              <w:rPr>
                <w:rFonts w:cs="Arial"/>
              </w:rPr>
            </w:pPr>
            <w:r w:rsidRPr="00A178DB">
              <w:t>900 tablets</w:t>
            </w:r>
          </w:p>
        </w:tc>
      </w:tr>
      <w:tr w:rsidR="005B460B" w:rsidRPr="00A178DB" w14:paraId="4F50CC96" w14:textId="77777777" w:rsidTr="00D95B66">
        <w:trPr>
          <w:trHeight w:val="389"/>
          <w:jc w:val="center"/>
        </w:trPr>
        <w:tc>
          <w:tcPr>
            <w:tcW w:w="3178" w:type="pct"/>
          </w:tcPr>
          <w:p w14:paraId="7A2EB20F" w14:textId="77777777" w:rsidR="005B460B" w:rsidRPr="00A178DB" w:rsidRDefault="005B460B" w:rsidP="005B460B">
            <w:pPr>
              <w:rPr>
                <w:rFonts w:cs="Arial"/>
              </w:rPr>
            </w:pPr>
            <w:r w:rsidRPr="00A178DB">
              <w:rPr>
                <w:rFonts w:cs="Arial"/>
              </w:rPr>
              <w:t>Methylphenidate extended-release 10 mg, 20 mg</w:t>
            </w:r>
          </w:p>
        </w:tc>
        <w:tc>
          <w:tcPr>
            <w:tcW w:w="921" w:type="pct"/>
          </w:tcPr>
          <w:p w14:paraId="6C71D605" w14:textId="77777777" w:rsidR="005B460B" w:rsidRPr="00A178DB" w:rsidRDefault="005B460B" w:rsidP="005B460B">
            <w:pPr>
              <w:rPr>
                <w:rFonts w:cs="Arial"/>
              </w:rPr>
            </w:pPr>
            <w:r w:rsidRPr="00A178DB">
              <w:rPr>
                <w:rFonts w:cs="Arial"/>
              </w:rPr>
              <w:t>150 tablets</w:t>
            </w:r>
          </w:p>
        </w:tc>
        <w:tc>
          <w:tcPr>
            <w:tcW w:w="901" w:type="pct"/>
          </w:tcPr>
          <w:p w14:paraId="662C5F4C" w14:textId="77777777" w:rsidR="005B460B" w:rsidRPr="00A178DB" w:rsidRDefault="005B460B" w:rsidP="005B460B">
            <w:pPr>
              <w:rPr>
                <w:rFonts w:cs="Arial"/>
              </w:rPr>
            </w:pPr>
            <w:r w:rsidRPr="00A178DB">
              <w:rPr>
                <w:rFonts w:cs="Arial"/>
              </w:rPr>
              <w:t>450 tablets</w:t>
            </w:r>
          </w:p>
        </w:tc>
      </w:tr>
      <w:tr w:rsidR="005B460B" w:rsidRPr="00A178DB" w14:paraId="20123E6C" w14:textId="77777777" w:rsidTr="00D95B66">
        <w:trPr>
          <w:trHeight w:val="389"/>
          <w:jc w:val="center"/>
        </w:trPr>
        <w:tc>
          <w:tcPr>
            <w:tcW w:w="3178" w:type="pct"/>
          </w:tcPr>
          <w:p w14:paraId="4218F9EB" w14:textId="60E06492" w:rsidR="005B460B" w:rsidRPr="00A178DB" w:rsidRDefault="005B460B" w:rsidP="005B460B">
            <w:pPr>
              <w:rPr>
                <w:rFonts w:cs="Arial"/>
              </w:rPr>
            </w:pPr>
            <w:r w:rsidRPr="00A178DB">
              <w:rPr>
                <w:rFonts w:cs="Arial"/>
              </w:rPr>
              <w:t>Methylphenidate Osmotic Extended-Release 45 mg</w:t>
            </w:r>
          </w:p>
        </w:tc>
        <w:tc>
          <w:tcPr>
            <w:tcW w:w="921" w:type="pct"/>
          </w:tcPr>
          <w:p w14:paraId="533895DF" w14:textId="77777777" w:rsidR="005B460B" w:rsidRPr="00A178DB" w:rsidRDefault="005B460B" w:rsidP="005B460B">
            <w:pPr>
              <w:rPr>
                <w:rFonts w:cs="Arial"/>
              </w:rPr>
            </w:pPr>
            <w:r w:rsidRPr="00A178DB">
              <w:rPr>
                <w:rFonts w:cs="Arial"/>
              </w:rPr>
              <w:t>60 tablets</w:t>
            </w:r>
          </w:p>
        </w:tc>
        <w:tc>
          <w:tcPr>
            <w:tcW w:w="901" w:type="pct"/>
          </w:tcPr>
          <w:p w14:paraId="3CDA5C43" w14:textId="77777777" w:rsidR="005B460B" w:rsidRPr="00A178DB" w:rsidRDefault="005B460B" w:rsidP="005B460B">
            <w:pPr>
              <w:rPr>
                <w:rFonts w:cs="Arial"/>
              </w:rPr>
            </w:pPr>
            <w:r w:rsidRPr="00A178DB">
              <w:rPr>
                <w:rFonts w:cs="Arial"/>
              </w:rPr>
              <w:t>180 tablets</w:t>
            </w:r>
          </w:p>
        </w:tc>
      </w:tr>
      <w:tr w:rsidR="005B460B" w:rsidRPr="00A178DB" w14:paraId="7762E3CC" w14:textId="77777777" w:rsidTr="00D95B66">
        <w:trPr>
          <w:trHeight w:val="389"/>
          <w:jc w:val="center"/>
        </w:trPr>
        <w:tc>
          <w:tcPr>
            <w:tcW w:w="3178" w:type="pct"/>
            <w:hideMark/>
          </w:tcPr>
          <w:p w14:paraId="76F18508" w14:textId="21EEA016" w:rsidR="005B460B" w:rsidRPr="00A178DB" w:rsidRDefault="005B460B" w:rsidP="005B460B">
            <w:pPr>
              <w:rPr>
                <w:rFonts w:cs="Arial"/>
              </w:rPr>
            </w:pPr>
            <w:r w:rsidRPr="00A178DB">
              <w:rPr>
                <w:rFonts w:cs="Arial"/>
              </w:rPr>
              <w:t>ProCentra (dextroamphetamine) oral solution 5 mg</w:t>
            </w:r>
            <w:r w:rsidR="00E81643">
              <w:rPr>
                <w:rFonts w:cs="Arial"/>
              </w:rPr>
              <w:t xml:space="preserve"> </w:t>
            </w:r>
            <w:r w:rsidRPr="00A178DB">
              <w:rPr>
                <w:rFonts w:cs="Arial"/>
              </w:rPr>
              <w:t>/</w:t>
            </w:r>
            <w:r w:rsidR="00E81643">
              <w:rPr>
                <w:rFonts w:cs="Arial"/>
              </w:rPr>
              <w:t xml:space="preserve"> </w:t>
            </w:r>
            <w:r w:rsidRPr="00A178DB">
              <w:rPr>
                <w:rFonts w:cs="Arial"/>
              </w:rPr>
              <w:t>5 mL</w:t>
            </w:r>
          </w:p>
        </w:tc>
        <w:tc>
          <w:tcPr>
            <w:tcW w:w="921" w:type="pct"/>
            <w:hideMark/>
          </w:tcPr>
          <w:p w14:paraId="2A896EE8" w14:textId="77777777" w:rsidR="005B460B" w:rsidRPr="00A178DB" w:rsidRDefault="005B460B" w:rsidP="005B460B">
            <w:pPr>
              <w:rPr>
                <w:rFonts w:cs="Arial"/>
              </w:rPr>
            </w:pPr>
            <w:r w:rsidRPr="00A178DB">
              <w:rPr>
                <w:rFonts w:cs="Arial"/>
              </w:rPr>
              <w:t>1,800 mL</w:t>
            </w:r>
          </w:p>
        </w:tc>
        <w:tc>
          <w:tcPr>
            <w:tcW w:w="901" w:type="pct"/>
            <w:hideMark/>
          </w:tcPr>
          <w:p w14:paraId="75707C71" w14:textId="77777777" w:rsidR="005B460B" w:rsidRPr="00A178DB" w:rsidRDefault="005B460B" w:rsidP="005B460B">
            <w:pPr>
              <w:rPr>
                <w:rFonts w:cs="Arial"/>
              </w:rPr>
            </w:pPr>
            <w:r w:rsidRPr="00A178DB">
              <w:rPr>
                <w:rFonts w:cs="Arial"/>
              </w:rPr>
              <w:t>5,400 mL</w:t>
            </w:r>
          </w:p>
        </w:tc>
      </w:tr>
      <w:tr w:rsidR="005B460B" w:rsidRPr="00A178DB" w14:paraId="66124D90" w14:textId="77777777" w:rsidTr="00D95B66">
        <w:trPr>
          <w:trHeight w:val="389"/>
          <w:jc w:val="center"/>
        </w:trPr>
        <w:tc>
          <w:tcPr>
            <w:tcW w:w="3178" w:type="pct"/>
            <w:hideMark/>
          </w:tcPr>
          <w:p w14:paraId="27CA06EA" w14:textId="3B0AC8C2" w:rsidR="005B460B" w:rsidRPr="00A178DB" w:rsidRDefault="005B460B" w:rsidP="005B460B">
            <w:pPr>
              <w:rPr>
                <w:rFonts w:cs="Arial"/>
              </w:rPr>
            </w:pPr>
            <w:r w:rsidRPr="00A178DB">
              <w:rPr>
                <w:rFonts w:cs="Arial"/>
              </w:rPr>
              <w:t xml:space="preserve">Relexxii </w:t>
            </w:r>
            <w:r>
              <w:t xml:space="preserve">(methylphenidate osmotic extended-release) </w:t>
            </w:r>
            <w:r w:rsidRPr="00A178DB">
              <w:rPr>
                <w:rFonts w:cs="Arial"/>
              </w:rPr>
              <w:t>18 mg, 27 mg, 36 mg</w:t>
            </w:r>
          </w:p>
        </w:tc>
        <w:tc>
          <w:tcPr>
            <w:tcW w:w="921" w:type="pct"/>
            <w:hideMark/>
          </w:tcPr>
          <w:p w14:paraId="0C7817F3" w14:textId="77777777" w:rsidR="005B460B" w:rsidRPr="00A178DB" w:rsidRDefault="005B460B" w:rsidP="005B460B">
            <w:pPr>
              <w:rPr>
                <w:rFonts w:cs="Arial"/>
              </w:rPr>
            </w:pPr>
            <w:r w:rsidRPr="00A178DB">
              <w:rPr>
                <w:rFonts w:cs="Arial"/>
              </w:rPr>
              <w:t>90 tablets</w:t>
            </w:r>
          </w:p>
        </w:tc>
        <w:tc>
          <w:tcPr>
            <w:tcW w:w="901" w:type="pct"/>
            <w:hideMark/>
          </w:tcPr>
          <w:p w14:paraId="763B900E" w14:textId="77777777" w:rsidR="005B460B" w:rsidRPr="00A178DB" w:rsidRDefault="005B460B" w:rsidP="005B460B">
            <w:pPr>
              <w:rPr>
                <w:rFonts w:cs="Arial"/>
              </w:rPr>
            </w:pPr>
            <w:r w:rsidRPr="00A178DB">
              <w:rPr>
                <w:rFonts w:cs="Arial"/>
              </w:rPr>
              <w:t>270 tablets</w:t>
            </w:r>
          </w:p>
        </w:tc>
      </w:tr>
      <w:tr w:rsidR="00CB216C" w:rsidRPr="00A178DB" w14:paraId="3697E766" w14:textId="77777777" w:rsidTr="00D95B66">
        <w:trPr>
          <w:trHeight w:val="389"/>
          <w:jc w:val="center"/>
        </w:trPr>
        <w:tc>
          <w:tcPr>
            <w:tcW w:w="3178" w:type="pct"/>
          </w:tcPr>
          <w:p w14:paraId="12A3B866" w14:textId="76C5F017" w:rsidR="00CB216C" w:rsidRPr="00A178DB" w:rsidRDefault="00CB216C" w:rsidP="00CB216C">
            <w:pPr>
              <w:rPr>
                <w:rFonts w:cs="Arial"/>
              </w:rPr>
            </w:pPr>
            <w:r w:rsidRPr="00A178DB">
              <w:rPr>
                <w:rFonts w:cs="Arial"/>
              </w:rPr>
              <w:t>Relexxii 45 mg</w:t>
            </w:r>
          </w:p>
        </w:tc>
        <w:tc>
          <w:tcPr>
            <w:tcW w:w="921" w:type="pct"/>
          </w:tcPr>
          <w:p w14:paraId="2DE5E10B" w14:textId="22988B7B" w:rsidR="00CB216C" w:rsidRPr="00A178DB" w:rsidRDefault="00CB216C" w:rsidP="00CB216C">
            <w:pPr>
              <w:rPr>
                <w:rFonts w:cs="Arial"/>
              </w:rPr>
            </w:pPr>
            <w:r w:rsidRPr="00A178DB">
              <w:rPr>
                <w:rFonts w:cs="Arial"/>
              </w:rPr>
              <w:t>60 tablets</w:t>
            </w:r>
          </w:p>
        </w:tc>
        <w:tc>
          <w:tcPr>
            <w:tcW w:w="901" w:type="pct"/>
          </w:tcPr>
          <w:p w14:paraId="66F7417B" w14:textId="512BC187" w:rsidR="00CB216C" w:rsidRPr="00A178DB" w:rsidRDefault="00CB216C" w:rsidP="00CB216C">
            <w:pPr>
              <w:rPr>
                <w:rFonts w:cs="Arial"/>
              </w:rPr>
            </w:pPr>
            <w:r w:rsidRPr="00A178DB">
              <w:rPr>
                <w:rFonts w:cs="Arial"/>
              </w:rPr>
              <w:t>180 tablets</w:t>
            </w:r>
          </w:p>
        </w:tc>
      </w:tr>
      <w:tr w:rsidR="00CB216C" w:rsidRPr="00A178DB" w14:paraId="5F915669" w14:textId="77777777" w:rsidTr="00D95B66">
        <w:trPr>
          <w:trHeight w:val="389"/>
          <w:jc w:val="center"/>
        </w:trPr>
        <w:tc>
          <w:tcPr>
            <w:tcW w:w="3178" w:type="pct"/>
          </w:tcPr>
          <w:p w14:paraId="4170475D" w14:textId="428AF626" w:rsidR="00CB216C" w:rsidRPr="00A178DB" w:rsidRDefault="00CB216C" w:rsidP="00CB216C">
            <w:pPr>
              <w:rPr>
                <w:rFonts w:cs="Arial"/>
              </w:rPr>
            </w:pPr>
            <w:r>
              <w:rPr>
                <w:rFonts w:cs="Arial"/>
              </w:rPr>
              <w:t xml:space="preserve">Relexxii </w:t>
            </w:r>
            <w:r>
              <w:t>(methylphenidate osmotic extended-release) 54 mg</w:t>
            </w:r>
          </w:p>
        </w:tc>
        <w:tc>
          <w:tcPr>
            <w:tcW w:w="921" w:type="pct"/>
          </w:tcPr>
          <w:p w14:paraId="0B6E82DF" w14:textId="00920400" w:rsidR="00CB216C" w:rsidRPr="00A178DB" w:rsidRDefault="00CB216C" w:rsidP="00CB216C">
            <w:pPr>
              <w:rPr>
                <w:rFonts w:cs="Arial"/>
              </w:rPr>
            </w:pPr>
            <w:r>
              <w:rPr>
                <w:rFonts w:cs="Arial"/>
              </w:rPr>
              <w:t>60 tablets</w:t>
            </w:r>
          </w:p>
        </w:tc>
        <w:tc>
          <w:tcPr>
            <w:tcW w:w="901" w:type="pct"/>
          </w:tcPr>
          <w:p w14:paraId="299F4E73" w14:textId="7DBCDADB" w:rsidR="00CB216C" w:rsidRPr="00A178DB" w:rsidRDefault="00CB216C" w:rsidP="00CB216C">
            <w:pPr>
              <w:rPr>
                <w:rFonts w:cs="Arial"/>
              </w:rPr>
            </w:pPr>
            <w:r>
              <w:rPr>
                <w:rFonts w:cs="Arial"/>
              </w:rPr>
              <w:t>180 tablets</w:t>
            </w:r>
          </w:p>
        </w:tc>
      </w:tr>
      <w:tr w:rsidR="00CB216C" w:rsidRPr="00A178DB" w14:paraId="4DFAF7B0" w14:textId="77777777" w:rsidTr="00D95B66">
        <w:trPr>
          <w:trHeight w:val="389"/>
          <w:jc w:val="center"/>
        </w:trPr>
        <w:tc>
          <w:tcPr>
            <w:tcW w:w="3178" w:type="pct"/>
          </w:tcPr>
          <w:p w14:paraId="1ED9EA80" w14:textId="77777777" w:rsidR="00CB216C" w:rsidRPr="00A178DB" w:rsidRDefault="00CB216C" w:rsidP="00CB216C">
            <w:pPr>
              <w:rPr>
                <w:rFonts w:cs="Arial"/>
              </w:rPr>
            </w:pPr>
            <w:r w:rsidRPr="00A178DB">
              <w:rPr>
                <w:rFonts w:cs="Arial"/>
              </w:rPr>
              <w:t>Ritalin (methylphenidate) 5 mg, 10 mg</w:t>
            </w:r>
          </w:p>
        </w:tc>
        <w:tc>
          <w:tcPr>
            <w:tcW w:w="921" w:type="pct"/>
          </w:tcPr>
          <w:p w14:paraId="2905FA3B" w14:textId="77777777" w:rsidR="00CB216C" w:rsidRPr="00A178DB" w:rsidRDefault="00CB216C" w:rsidP="00CB216C">
            <w:pPr>
              <w:rPr>
                <w:rFonts w:cs="Arial"/>
              </w:rPr>
            </w:pPr>
            <w:r w:rsidRPr="00A178DB">
              <w:rPr>
                <w:rFonts w:cs="Arial"/>
              </w:rPr>
              <w:t>210 tablets</w:t>
            </w:r>
          </w:p>
        </w:tc>
        <w:tc>
          <w:tcPr>
            <w:tcW w:w="901" w:type="pct"/>
          </w:tcPr>
          <w:p w14:paraId="655D7915" w14:textId="77777777" w:rsidR="00CB216C" w:rsidRPr="00A178DB" w:rsidRDefault="00CB216C" w:rsidP="00CB216C">
            <w:pPr>
              <w:rPr>
                <w:rFonts w:cs="Arial"/>
              </w:rPr>
            </w:pPr>
            <w:r w:rsidRPr="00A178DB">
              <w:rPr>
                <w:rFonts w:cs="Arial"/>
              </w:rPr>
              <w:t>630 tablets</w:t>
            </w:r>
          </w:p>
        </w:tc>
      </w:tr>
      <w:tr w:rsidR="00CB216C" w:rsidRPr="00A178DB" w14:paraId="6A965988" w14:textId="77777777" w:rsidTr="00D95B66">
        <w:trPr>
          <w:trHeight w:val="389"/>
          <w:jc w:val="center"/>
        </w:trPr>
        <w:tc>
          <w:tcPr>
            <w:tcW w:w="3178" w:type="pct"/>
          </w:tcPr>
          <w:p w14:paraId="2FFD0BB5" w14:textId="77777777" w:rsidR="00CB216C" w:rsidRPr="00A178DB" w:rsidRDefault="00CB216C" w:rsidP="00CB216C">
            <w:pPr>
              <w:rPr>
                <w:rFonts w:cs="Arial"/>
              </w:rPr>
            </w:pPr>
            <w:r w:rsidRPr="00A178DB">
              <w:rPr>
                <w:rFonts w:cs="Arial"/>
              </w:rPr>
              <w:t xml:space="preserve">Ritalin (methylphenidate) 20 mg </w:t>
            </w:r>
          </w:p>
        </w:tc>
        <w:tc>
          <w:tcPr>
            <w:tcW w:w="921" w:type="pct"/>
          </w:tcPr>
          <w:p w14:paraId="19B6E065" w14:textId="77777777" w:rsidR="00CB216C" w:rsidRPr="00A178DB" w:rsidRDefault="00CB216C" w:rsidP="00CB216C">
            <w:pPr>
              <w:rPr>
                <w:rFonts w:cs="Arial"/>
              </w:rPr>
            </w:pPr>
            <w:r w:rsidRPr="00A178DB">
              <w:rPr>
                <w:rFonts w:cs="Arial"/>
              </w:rPr>
              <w:t>150 tablets</w:t>
            </w:r>
          </w:p>
        </w:tc>
        <w:tc>
          <w:tcPr>
            <w:tcW w:w="901" w:type="pct"/>
          </w:tcPr>
          <w:p w14:paraId="17CB3AAA" w14:textId="77777777" w:rsidR="00CB216C" w:rsidRPr="00A178DB" w:rsidRDefault="00CB216C" w:rsidP="00CB216C">
            <w:pPr>
              <w:rPr>
                <w:rFonts w:cs="Arial"/>
              </w:rPr>
            </w:pPr>
            <w:r w:rsidRPr="00A178DB">
              <w:rPr>
                <w:rFonts w:cs="Arial"/>
              </w:rPr>
              <w:t>450 tablets</w:t>
            </w:r>
          </w:p>
        </w:tc>
      </w:tr>
      <w:tr w:rsidR="00CB216C" w:rsidRPr="00A178DB" w14:paraId="54765D46" w14:textId="77777777" w:rsidTr="00D95B66">
        <w:trPr>
          <w:trHeight w:val="389"/>
          <w:jc w:val="center"/>
        </w:trPr>
        <w:tc>
          <w:tcPr>
            <w:tcW w:w="3178" w:type="pct"/>
            <w:hideMark/>
          </w:tcPr>
          <w:p w14:paraId="24F5A514" w14:textId="088F40BC" w:rsidR="00CB216C" w:rsidRPr="00A178DB" w:rsidRDefault="00CB216C" w:rsidP="00CB216C">
            <w:pPr>
              <w:rPr>
                <w:rFonts w:cs="Arial"/>
              </w:rPr>
            </w:pPr>
            <w:r w:rsidRPr="00A178DB">
              <w:rPr>
                <w:rFonts w:cs="Arial"/>
              </w:rPr>
              <w:t>Ritalin LA (methylphenidate extended-release (LA)) 10 mg, 20 mg</w:t>
            </w:r>
          </w:p>
        </w:tc>
        <w:tc>
          <w:tcPr>
            <w:tcW w:w="921" w:type="pct"/>
            <w:hideMark/>
          </w:tcPr>
          <w:p w14:paraId="7ECAAE9A" w14:textId="77777777" w:rsidR="00CB216C" w:rsidRPr="00A178DB" w:rsidRDefault="00CB216C" w:rsidP="00CB216C">
            <w:pPr>
              <w:rPr>
                <w:rFonts w:cs="Arial"/>
              </w:rPr>
            </w:pPr>
            <w:r w:rsidRPr="00A178DB">
              <w:rPr>
                <w:rFonts w:cs="Arial"/>
              </w:rPr>
              <w:t>150 capsules</w:t>
            </w:r>
          </w:p>
        </w:tc>
        <w:tc>
          <w:tcPr>
            <w:tcW w:w="901" w:type="pct"/>
            <w:hideMark/>
          </w:tcPr>
          <w:p w14:paraId="40994EF1" w14:textId="77777777" w:rsidR="00CB216C" w:rsidRPr="00A178DB" w:rsidRDefault="00CB216C" w:rsidP="00CB216C">
            <w:pPr>
              <w:rPr>
                <w:rFonts w:cs="Arial"/>
              </w:rPr>
            </w:pPr>
            <w:r w:rsidRPr="00A178DB">
              <w:rPr>
                <w:rFonts w:cs="Arial"/>
              </w:rPr>
              <w:t>450 capsules</w:t>
            </w:r>
          </w:p>
        </w:tc>
      </w:tr>
      <w:tr w:rsidR="00CB216C" w:rsidRPr="00A178DB" w14:paraId="69BF1391" w14:textId="77777777" w:rsidTr="00D95B66">
        <w:trPr>
          <w:trHeight w:val="389"/>
          <w:jc w:val="center"/>
        </w:trPr>
        <w:tc>
          <w:tcPr>
            <w:tcW w:w="3178" w:type="pct"/>
            <w:hideMark/>
          </w:tcPr>
          <w:p w14:paraId="5BE52B95" w14:textId="50D3ACB9" w:rsidR="00CB216C" w:rsidRPr="00A178DB" w:rsidRDefault="00CB216C" w:rsidP="00CB216C">
            <w:pPr>
              <w:rPr>
                <w:rFonts w:cs="Arial"/>
              </w:rPr>
            </w:pPr>
            <w:r w:rsidRPr="00A178DB">
              <w:rPr>
                <w:rFonts w:cs="Arial"/>
              </w:rPr>
              <w:t>Ritalin LA (methylphenidate extended-release (LA)) 30 mg</w:t>
            </w:r>
          </w:p>
        </w:tc>
        <w:tc>
          <w:tcPr>
            <w:tcW w:w="921" w:type="pct"/>
            <w:hideMark/>
          </w:tcPr>
          <w:p w14:paraId="01C5D537" w14:textId="77777777" w:rsidR="00CB216C" w:rsidRPr="00A178DB" w:rsidRDefault="00CB216C" w:rsidP="00CB216C">
            <w:pPr>
              <w:rPr>
                <w:rFonts w:cs="Arial"/>
              </w:rPr>
            </w:pPr>
            <w:r w:rsidRPr="00A178DB">
              <w:rPr>
                <w:rFonts w:cs="Arial"/>
              </w:rPr>
              <w:t>90 capsules</w:t>
            </w:r>
          </w:p>
        </w:tc>
        <w:tc>
          <w:tcPr>
            <w:tcW w:w="901" w:type="pct"/>
            <w:hideMark/>
          </w:tcPr>
          <w:p w14:paraId="1D91498B" w14:textId="77777777" w:rsidR="00CB216C" w:rsidRPr="00A178DB" w:rsidRDefault="00CB216C" w:rsidP="00CB216C">
            <w:pPr>
              <w:rPr>
                <w:rFonts w:cs="Arial"/>
              </w:rPr>
            </w:pPr>
            <w:r w:rsidRPr="00A178DB">
              <w:rPr>
                <w:rFonts w:cs="Arial"/>
              </w:rPr>
              <w:t>270 capsules</w:t>
            </w:r>
          </w:p>
        </w:tc>
      </w:tr>
      <w:tr w:rsidR="00CB216C" w:rsidRPr="00A178DB" w14:paraId="02F44BB5" w14:textId="77777777" w:rsidTr="00D95B66">
        <w:trPr>
          <w:trHeight w:val="389"/>
          <w:jc w:val="center"/>
        </w:trPr>
        <w:tc>
          <w:tcPr>
            <w:tcW w:w="3178" w:type="pct"/>
            <w:hideMark/>
          </w:tcPr>
          <w:p w14:paraId="625E89C0" w14:textId="44E44B95" w:rsidR="00CB216C" w:rsidRPr="00A178DB" w:rsidRDefault="00CB216C" w:rsidP="00CB216C">
            <w:pPr>
              <w:rPr>
                <w:rFonts w:cs="Arial"/>
              </w:rPr>
            </w:pPr>
            <w:r w:rsidRPr="00A178DB">
              <w:rPr>
                <w:rFonts w:cs="Arial"/>
              </w:rPr>
              <w:t>Ritalin LA (methylphenidate extended-release (LA)) 40 mg</w:t>
            </w:r>
          </w:p>
        </w:tc>
        <w:tc>
          <w:tcPr>
            <w:tcW w:w="921" w:type="pct"/>
            <w:hideMark/>
          </w:tcPr>
          <w:p w14:paraId="5FD7700D" w14:textId="77777777" w:rsidR="00CB216C" w:rsidRPr="00A178DB" w:rsidRDefault="00CB216C" w:rsidP="00CB216C">
            <w:pPr>
              <w:rPr>
                <w:rFonts w:cs="Arial"/>
              </w:rPr>
            </w:pPr>
            <w:r w:rsidRPr="00A178DB">
              <w:rPr>
                <w:rFonts w:cs="Arial"/>
              </w:rPr>
              <w:t>60 capsules</w:t>
            </w:r>
          </w:p>
        </w:tc>
        <w:tc>
          <w:tcPr>
            <w:tcW w:w="901" w:type="pct"/>
            <w:hideMark/>
          </w:tcPr>
          <w:p w14:paraId="66F292BD" w14:textId="77777777" w:rsidR="00CB216C" w:rsidRPr="00A178DB" w:rsidRDefault="00CB216C" w:rsidP="00CB216C">
            <w:pPr>
              <w:rPr>
                <w:rFonts w:cs="Arial"/>
              </w:rPr>
            </w:pPr>
            <w:r w:rsidRPr="00A178DB">
              <w:rPr>
                <w:rFonts w:cs="Arial"/>
              </w:rPr>
              <w:t>180 capsules</w:t>
            </w:r>
          </w:p>
        </w:tc>
      </w:tr>
      <w:tr w:rsidR="00CB216C" w:rsidRPr="00A178DB" w14:paraId="32E5BACB" w14:textId="77777777" w:rsidTr="00D95B66">
        <w:trPr>
          <w:trHeight w:val="389"/>
          <w:jc w:val="center"/>
        </w:trPr>
        <w:tc>
          <w:tcPr>
            <w:tcW w:w="3178" w:type="pct"/>
            <w:hideMark/>
          </w:tcPr>
          <w:p w14:paraId="71091992" w14:textId="77777777" w:rsidR="00CB216C" w:rsidRPr="00A178DB" w:rsidRDefault="00CB216C" w:rsidP="00CB216C">
            <w:pPr>
              <w:rPr>
                <w:rFonts w:cs="Arial"/>
              </w:rPr>
            </w:pPr>
            <w:r w:rsidRPr="00A178DB">
              <w:rPr>
                <w:rFonts w:cs="Arial"/>
              </w:rPr>
              <w:t xml:space="preserve">Zenzedi </w:t>
            </w:r>
            <w:r w:rsidRPr="00A178DB">
              <w:t xml:space="preserve">(dextroamphetamine) </w:t>
            </w:r>
            <w:r w:rsidRPr="00A178DB">
              <w:rPr>
                <w:rFonts w:cs="Arial"/>
              </w:rPr>
              <w:t>2.5 mg, 5 mg, 7.5 mg, 10 mg</w:t>
            </w:r>
          </w:p>
        </w:tc>
        <w:tc>
          <w:tcPr>
            <w:tcW w:w="921" w:type="pct"/>
            <w:hideMark/>
          </w:tcPr>
          <w:p w14:paraId="0526E670" w14:textId="77777777" w:rsidR="00CB216C" w:rsidRPr="00A178DB" w:rsidRDefault="00CB216C" w:rsidP="00CB216C">
            <w:pPr>
              <w:rPr>
                <w:rFonts w:cs="Arial"/>
              </w:rPr>
            </w:pPr>
            <w:r w:rsidRPr="00A178DB">
              <w:rPr>
                <w:rFonts w:cs="Arial"/>
              </w:rPr>
              <w:t>180 tablets</w:t>
            </w:r>
          </w:p>
        </w:tc>
        <w:tc>
          <w:tcPr>
            <w:tcW w:w="901" w:type="pct"/>
            <w:hideMark/>
          </w:tcPr>
          <w:p w14:paraId="40630C90" w14:textId="77777777" w:rsidR="00CB216C" w:rsidRPr="00A178DB" w:rsidRDefault="00CB216C" w:rsidP="00CB216C">
            <w:pPr>
              <w:rPr>
                <w:rFonts w:cs="Arial"/>
              </w:rPr>
            </w:pPr>
            <w:r w:rsidRPr="00A178DB">
              <w:rPr>
                <w:rFonts w:cs="Arial"/>
              </w:rPr>
              <w:t>540 tablets</w:t>
            </w:r>
          </w:p>
        </w:tc>
      </w:tr>
      <w:tr w:rsidR="00CB216C" w:rsidRPr="00A178DB" w14:paraId="53D792E5" w14:textId="77777777" w:rsidTr="00D95B66">
        <w:trPr>
          <w:trHeight w:val="389"/>
          <w:jc w:val="center"/>
        </w:trPr>
        <w:tc>
          <w:tcPr>
            <w:tcW w:w="3178" w:type="pct"/>
            <w:hideMark/>
          </w:tcPr>
          <w:p w14:paraId="323BC65A" w14:textId="77777777" w:rsidR="00CB216C" w:rsidRPr="00A178DB" w:rsidRDefault="00CB216C" w:rsidP="00CB216C">
            <w:pPr>
              <w:rPr>
                <w:rFonts w:cs="Arial"/>
              </w:rPr>
            </w:pPr>
            <w:r w:rsidRPr="00A178DB">
              <w:rPr>
                <w:rFonts w:cs="Arial"/>
              </w:rPr>
              <w:t xml:space="preserve">Zenzedi </w:t>
            </w:r>
            <w:r w:rsidRPr="00A178DB">
              <w:t xml:space="preserve">(dextroamphetamine) </w:t>
            </w:r>
            <w:r w:rsidRPr="00A178DB">
              <w:rPr>
                <w:rFonts w:cs="Arial"/>
              </w:rPr>
              <w:t>15 mg</w:t>
            </w:r>
          </w:p>
        </w:tc>
        <w:tc>
          <w:tcPr>
            <w:tcW w:w="921" w:type="pct"/>
            <w:hideMark/>
          </w:tcPr>
          <w:p w14:paraId="3A3544E9" w14:textId="77777777" w:rsidR="00CB216C" w:rsidRPr="00A178DB" w:rsidRDefault="00CB216C" w:rsidP="00CB216C">
            <w:pPr>
              <w:rPr>
                <w:rFonts w:cs="Arial"/>
              </w:rPr>
            </w:pPr>
            <w:r w:rsidRPr="00A178DB">
              <w:rPr>
                <w:rFonts w:cs="Arial"/>
              </w:rPr>
              <w:t>120 tablets</w:t>
            </w:r>
          </w:p>
        </w:tc>
        <w:tc>
          <w:tcPr>
            <w:tcW w:w="901" w:type="pct"/>
            <w:hideMark/>
          </w:tcPr>
          <w:p w14:paraId="28A16CCC" w14:textId="77777777" w:rsidR="00CB216C" w:rsidRPr="00A178DB" w:rsidRDefault="00CB216C" w:rsidP="00CB216C">
            <w:pPr>
              <w:rPr>
                <w:rFonts w:cs="Arial"/>
              </w:rPr>
            </w:pPr>
            <w:r w:rsidRPr="00A178DB">
              <w:rPr>
                <w:rFonts w:cs="Arial"/>
              </w:rPr>
              <w:t>360 tablets</w:t>
            </w:r>
          </w:p>
        </w:tc>
      </w:tr>
      <w:tr w:rsidR="00CB216C" w:rsidRPr="00A178DB" w14:paraId="514ACA65" w14:textId="77777777" w:rsidTr="00D95B66">
        <w:trPr>
          <w:trHeight w:val="389"/>
          <w:jc w:val="center"/>
        </w:trPr>
        <w:tc>
          <w:tcPr>
            <w:tcW w:w="3178" w:type="pct"/>
            <w:hideMark/>
          </w:tcPr>
          <w:p w14:paraId="102B2B4B" w14:textId="77777777" w:rsidR="00CB216C" w:rsidRPr="00A178DB" w:rsidRDefault="00CB216C" w:rsidP="00CB216C">
            <w:pPr>
              <w:rPr>
                <w:rFonts w:cs="Arial"/>
              </w:rPr>
            </w:pPr>
            <w:r w:rsidRPr="00A178DB">
              <w:rPr>
                <w:rFonts w:cs="Arial"/>
              </w:rPr>
              <w:t xml:space="preserve">Zenzedi </w:t>
            </w:r>
            <w:r w:rsidRPr="00A178DB">
              <w:t xml:space="preserve">(dextroamphetamine) </w:t>
            </w:r>
            <w:r w:rsidRPr="00A178DB">
              <w:rPr>
                <w:rFonts w:cs="Arial"/>
              </w:rPr>
              <w:t>20 mg</w:t>
            </w:r>
          </w:p>
        </w:tc>
        <w:tc>
          <w:tcPr>
            <w:tcW w:w="921" w:type="pct"/>
            <w:hideMark/>
          </w:tcPr>
          <w:p w14:paraId="63289663" w14:textId="77777777" w:rsidR="00CB216C" w:rsidRPr="00A178DB" w:rsidRDefault="00CB216C" w:rsidP="00CB216C">
            <w:pPr>
              <w:rPr>
                <w:rFonts w:cs="Arial"/>
              </w:rPr>
            </w:pPr>
            <w:r w:rsidRPr="00A178DB">
              <w:t xml:space="preserve">90 </w:t>
            </w:r>
            <w:r w:rsidRPr="00A178DB">
              <w:rPr>
                <w:rFonts w:cs="Arial"/>
              </w:rPr>
              <w:t>tablets</w:t>
            </w:r>
          </w:p>
        </w:tc>
        <w:tc>
          <w:tcPr>
            <w:tcW w:w="901" w:type="pct"/>
            <w:hideMark/>
          </w:tcPr>
          <w:p w14:paraId="271E525F" w14:textId="77777777" w:rsidR="00CB216C" w:rsidRPr="00A178DB" w:rsidRDefault="00CB216C" w:rsidP="00CB216C">
            <w:pPr>
              <w:rPr>
                <w:rFonts w:cs="Arial"/>
              </w:rPr>
            </w:pPr>
            <w:r w:rsidRPr="00A178DB">
              <w:rPr>
                <w:rFonts w:cs="Arial"/>
              </w:rPr>
              <w:t>270 tablets</w:t>
            </w:r>
          </w:p>
        </w:tc>
      </w:tr>
      <w:tr w:rsidR="00CB216C" w:rsidRPr="00A178DB" w14:paraId="30E32F0F" w14:textId="77777777" w:rsidTr="00D95B66">
        <w:trPr>
          <w:trHeight w:val="389"/>
          <w:jc w:val="center"/>
        </w:trPr>
        <w:tc>
          <w:tcPr>
            <w:tcW w:w="3178" w:type="pct"/>
            <w:hideMark/>
          </w:tcPr>
          <w:p w14:paraId="3D437443" w14:textId="77777777" w:rsidR="00CB216C" w:rsidRPr="00A178DB" w:rsidRDefault="00CB216C" w:rsidP="00CB216C">
            <w:pPr>
              <w:rPr>
                <w:rFonts w:cs="Arial"/>
              </w:rPr>
            </w:pPr>
            <w:r w:rsidRPr="00A178DB">
              <w:rPr>
                <w:rFonts w:cs="Arial"/>
              </w:rPr>
              <w:t xml:space="preserve">Zenzedi </w:t>
            </w:r>
            <w:r w:rsidRPr="00A178DB">
              <w:t xml:space="preserve">(dextroamphetamine) </w:t>
            </w:r>
            <w:r w:rsidRPr="00A178DB">
              <w:rPr>
                <w:rFonts w:cs="Arial"/>
              </w:rPr>
              <w:t>30 mg</w:t>
            </w:r>
          </w:p>
        </w:tc>
        <w:tc>
          <w:tcPr>
            <w:tcW w:w="921" w:type="pct"/>
            <w:hideMark/>
          </w:tcPr>
          <w:p w14:paraId="5FCFF392" w14:textId="77777777" w:rsidR="00CB216C" w:rsidRPr="00A178DB" w:rsidRDefault="00CB216C" w:rsidP="00CB216C">
            <w:pPr>
              <w:rPr>
                <w:rFonts w:cs="Arial"/>
              </w:rPr>
            </w:pPr>
            <w:r w:rsidRPr="00A178DB">
              <w:t>60 tablets</w:t>
            </w:r>
          </w:p>
        </w:tc>
        <w:tc>
          <w:tcPr>
            <w:tcW w:w="901" w:type="pct"/>
            <w:hideMark/>
          </w:tcPr>
          <w:p w14:paraId="47C021F2" w14:textId="77777777" w:rsidR="00CB216C" w:rsidRPr="00A178DB" w:rsidRDefault="00CB216C" w:rsidP="00CB216C">
            <w:pPr>
              <w:rPr>
                <w:rFonts w:cs="Arial"/>
              </w:rPr>
            </w:pPr>
            <w:r w:rsidRPr="00A178DB">
              <w:t>180 tablets</w:t>
            </w:r>
          </w:p>
        </w:tc>
      </w:tr>
    </w:tbl>
    <w:p w14:paraId="530C00E0" w14:textId="7E0C44FE" w:rsidR="00F54E53" w:rsidRDefault="00A178DB" w:rsidP="00F54E53">
      <w:pPr>
        <w:pStyle w:val="Heading3"/>
      </w:pPr>
      <w:r w:rsidRPr="00A178DB">
        <w:t xml:space="preserve">Post Limit Quantity </w:t>
      </w:r>
      <w:r w:rsidR="003956EB">
        <w:t>f</w:t>
      </w:r>
      <w:r w:rsidRPr="00A178DB">
        <w:t>or Narcolepsy</w:t>
      </w:r>
    </w:p>
    <w:p w14:paraId="757C0FF7" w14:textId="458D3BC2" w:rsidR="008F6C67" w:rsidRDefault="008F6C67" w:rsidP="008F6C67">
      <w:pPr>
        <w:pStyle w:val="BodyText"/>
      </w:pPr>
      <w:r>
        <w:t>The duration of 25 days is used for a 30-day fill period and 75 days is used for a 90-day fill period to allow time for refill processing.</w:t>
      </w:r>
    </w:p>
    <w:p w14:paraId="02ADD6FC" w14:textId="5F221A06" w:rsidR="008F6C67" w:rsidRPr="008F6C67" w:rsidRDefault="008F6C67" w:rsidP="006C51F0">
      <w:pPr>
        <w:pStyle w:val="BodyText"/>
      </w:pPr>
      <w:r>
        <w:t>The initial limits for methylphenidate immediate-release, methylphenidate extended-release, and methylphenidate chewable tablets are set at the FDA maximum approved daily doses for narcolepsy; therefore, no post limit quantities will be available for these drugs for the diagnosis of narcolepsy.</w:t>
      </w:r>
    </w:p>
    <w:tbl>
      <w:tblPr>
        <w:tblW w:w="4984" w:type="pct"/>
        <w:jc w:val="center"/>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ook w:val="01E0" w:firstRow="1" w:lastRow="1" w:firstColumn="1" w:lastColumn="1" w:noHBand="0" w:noVBand="0"/>
      </w:tblPr>
      <w:tblGrid>
        <w:gridCol w:w="6805"/>
        <w:gridCol w:w="1972"/>
        <w:gridCol w:w="1929"/>
      </w:tblGrid>
      <w:tr w:rsidR="00F54E53" w:rsidRPr="00A178DB" w14:paraId="0D0F2814" w14:textId="77777777" w:rsidTr="00D46A8E">
        <w:trPr>
          <w:tblHeader/>
          <w:jc w:val="center"/>
        </w:trPr>
        <w:tc>
          <w:tcPr>
            <w:tcW w:w="3178" w:type="pct"/>
            <w:vAlign w:val="center"/>
            <w:hideMark/>
          </w:tcPr>
          <w:p w14:paraId="21BCA252" w14:textId="77777777" w:rsidR="00F54E53" w:rsidRPr="00A178DB" w:rsidRDefault="00F54E53" w:rsidP="003C37A4">
            <w:pPr>
              <w:rPr>
                <w:rFonts w:cs="Arial"/>
              </w:rPr>
            </w:pPr>
            <w:r w:rsidRPr="00A178DB">
              <w:rPr>
                <w:rFonts w:cs="Arial"/>
                <w:b/>
              </w:rPr>
              <w:t>Drug</w:t>
            </w:r>
          </w:p>
        </w:tc>
        <w:tc>
          <w:tcPr>
            <w:tcW w:w="921" w:type="pct"/>
            <w:vAlign w:val="center"/>
            <w:hideMark/>
          </w:tcPr>
          <w:p w14:paraId="5CABF4DC" w14:textId="6CE69E0D" w:rsidR="00F54E53" w:rsidRPr="00A178DB" w:rsidRDefault="00F54E53" w:rsidP="003C37A4">
            <w:pPr>
              <w:rPr>
                <w:rFonts w:cs="Arial"/>
              </w:rPr>
            </w:pPr>
            <w:r w:rsidRPr="00A178DB">
              <w:rPr>
                <w:rFonts w:cs="Arial"/>
                <w:b/>
              </w:rPr>
              <w:t>Quantity / 25 days</w:t>
            </w:r>
          </w:p>
        </w:tc>
        <w:tc>
          <w:tcPr>
            <w:tcW w:w="901" w:type="pct"/>
            <w:vAlign w:val="center"/>
            <w:hideMark/>
          </w:tcPr>
          <w:p w14:paraId="4BDD8A4A" w14:textId="1DE029F1" w:rsidR="00F54E53" w:rsidRPr="00A178DB" w:rsidRDefault="00F54E53" w:rsidP="003C37A4">
            <w:pPr>
              <w:rPr>
                <w:rFonts w:cs="Arial"/>
              </w:rPr>
            </w:pPr>
            <w:r w:rsidRPr="00A178DB">
              <w:rPr>
                <w:rFonts w:cs="Arial"/>
                <w:b/>
              </w:rPr>
              <w:t>Quantity / 75 days</w:t>
            </w:r>
          </w:p>
        </w:tc>
      </w:tr>
      <w:tr w:rsidR="00F54E53" w:rsidRPr="00A178DB" w14:paraId="46DACAE6" w14:textId="77777777" w:rsidTr="00D46A8E">
        <w:trPr>
          <w:trHeight w:val="389"/>
          <w:jc w:val="center"/>
        </w:trPr>
        <w:tc>
          <w:tcPr>
            <w:tcW w:w="3178" w:type="pct"/>
            <w:hideMark/>
          </w:tcPr>
          <w:p w14:paraId="19815006" w14:textId="77777777" w:rsidR="00F54E53" w:rsidRPr="00A178DB" w:rsidRDefault="00F54E53" w:rsidP="003C37A4">
            <w:pPr>
              <w:rPr>
                <w:rFonts w:cs="Arial"/>
              </w:rPr>
            </w:pPr>
            <w:r w:rsidRPr="00A178DB">
              <w:rPr>
                <w:rFonts w:cs="Arial"/>
              </w:rPr>
              <w:t>Adderall (amphetamine-dextroamphetamine) 5 mg, 7.5 mg, 10 mg, 12.5 mg</w:t>
            </w:r>
          </w:p>
        </w:tc>
        <w:tc>
          <w:tcPr>
            <w:tcW w:w="921" w:type="pct"/>
            <w:hideMark/>
          </w:tcPr>
          <w:p w14:paraId="10E7B7F8" w14:textId="77777777" w:rsidR="00F54E53" w:rsidRPr="00A178DB" w:rsidRDefault="00F54E53" w:rsidP="003C37A4">
            <w:pPr>
              <w:rPr>
                <w:rFonts w:cs="Arial"/>
              </w:rPr>
            </w:pPr>
            <w:r w:rsidRPr="00A178DB">
              <w:rPr>
                <w:rFonts w:cs="Arial"/>
              </w:rPr>
              <w:t>120 tablets</w:t>
            </w:r>
          </w:p>
        </w:tc>
        <w:tc>
          <w:tcPr>
            <w:tcW w:w="901" w:type="pct"/>
            <w:hideMark/>
          </w:tcPr>
          <w:p w14:paraId="24896B01" w14:textId="77777777" w:rsidR="00F54E53" w:rsidRPr="00A178DB" w:rsidRDefault="00F54E53" w:rsidP="003C37A4">
            <w:pPr>
              <w:rPr>
                <w:rFonts w:cs="Arial"/>
              </w:rPr>
            </w:pPr>
            <w:r w:rsidRPr="00A178DB">
              <w:rPr>
                <w:rFonts w:cs="Arial"/>
              </w:rPr>
              <w:t>360 tablets</w:t>
            </w:r>
          </w:p>
        </w:tc>
      </w:tr>
      <w:tr w:rsidR="00F54E53" w:rsidRPr="00A178DB" w14:paraId="650E7727" w14:textId="77777777" w:rsidTr="00D46A8E">
        <w:trPr>
          <w:trHeight w:val="389"/>
          <w:jc w:val="center"/>
        </w:trPr>
        <w:tc>
          <w:tcPr>
            <w:tcW w:w="3178" w:type="pct"/>
            <w:hideMark/>
          </w:tcPr>
          <w:p w14:paraId="52A6A29C" w14:textId="77777777" w:rsidR="00F54E53" w:rsidRPr="00A178DB" w:rsidRDefault="00F54E53" w:rsidP="003C37A4">
            <w:pPr>
              <w:rPr>
                <w:rFonts w:cs="Arial"/>
              </w:rPr>
            </w:pPr>
            <w:r w:rsidRPr="00A178DB">
              <w:rPr>
                <w:rFonts w:cs="Arial"/>
              </w:rPr>
              <w:t>Adderall (amphetamine-dextroamphetamine) 15 mg, 20 mg</w:t>
            </w:r>
          </w:p>
        </w:tc>
        <w:tc>
          <w:tcPr>
            <w:tcW w:w="921" w:type="pct"/>
            <w:hideMark/>
          </w:tcPr>
          <w:p w14:paraId="5DB91855" w14:textId="77777777" w:rsidR="00F54E53" w:rsidRPr="00A178DB" w:rsidRDefault="00F54E53" w:rsidP="003C37A4">
            <w:pPr>
              <w:rPr>
                <w:rFonts w:cs="Arial"/>
              </w:rPr>
            </w:pPr>
            <w:r w:rsidRPr="00A178DB">
              <w:rPr>
                <w:rFonts w:cs="Arial"/>
              </w:rPr>
              <w:t>90 tablets</w:t>
            </w:r>
          </w:p>
        </w:tc>
        <w:tc>
          <w:tcPr>
            <w:tcW w:w="901" w:type="pct"/>
            <w:hideMark/>
          </w:tcPr>
          <w:p w14:paraId="20E750AB" w14:textId="77777777" w:rsidR="00F54E53" w:rsidRPr="00A178DB" w:rsidRDefault="00F54E53" w:rsidP="003C37A4">
            <w:pPr>
              <w:rPr>
                <w:rFonts w:cs="Arial"/>
              </w:rPr>
            </w:pPr>
            <w:r w:rsidRPr="00A178DB">
              <w:rPr>
                <w:rFonts w:cs="Arial"/>
              </w:rPr>
              <w:t>270 tablets</w:t>
            </w:r>
          </w:p>
        </w:tc>
      </w:tr>
      <w:tr w:rsidR="00F54E53" w:rsidRPr="00A178DB" w14:paraId="44C780A8" w14:textId="77777777" w:rsidTr="00D46A8E">
        <w:trPr>
          <w:trHeight w:val="389"/>
          <w:jc w:val="center"/>
        </w:trPr>
        <w:tc>
          <w:tcPr>
            <w:tcW w:w="3178" w:type="pct"/>
            <w:hideMark/>
          </w:tcPr>
          <w:p w14:paraId="76FDF47F" w14:textId="77777777" w:rsidR="00F54E53" w:rsidRPr="00A178DB" w:rsidRDefault="00F54E53" w:rsidP="003C37A4">
            <w:pPr>
              <w:rPr>
                <w:rFonts w:cs="Arial"/>
              </w:rPr>
            </w:pPr>
            <w:r w:rsidRPr="00A178DB">
              <w:rPr>
                <w:rFonts w:cs="Arial"/>
              </w:rPr>
              <w:t>Adderall (amphetamine-dextroamphetamine) 30 mg</w:t>
            </w:r>
          </w:p>
        </w:tc>
        <w:tc>
          <w:tcPr>
            <w:tcW w:w="921" w:type="pct"/>
            <w:hideMark/>
          </w:tcPr>
          <w:p w14:paraId="0799AA78" w14:textId="77777777" w:rsidR="00F54E53" w:rsidRPr="00A178DB" w:rsidRDefault="00F54E53" w:rsidP="003C37A4">
            <w:pPr>
              <w:rPr>
                <w:rFonts w:cs="Arial"/>
              </w:rPr>
            </w:pPr>
            <w:r w:rsidRPr="00A178DB">
              <w:rPr>
                <w:rFonts w:cs="Arial"/>
              </w:rPr>
              <w:t>60 tablets</w:t>
            </w:r>
          </w:p>
        </w:tc>
        <w:tc>
          <w:tcPr>
            <w:tcW w:w="901" w:type="pct"/>
            <w:hideMark/>
          </w:tcPr>
          <w:p w14:paraId="2D2D7AA9" w14:textId="77777777" w:rsidR="00F54E53" w:rsidRPr="00A178DB" w:rsidRDefault="00F54E53" w:rsidP="003C37A4">
            <w:pPr>
              <w:rPr>
                <w:rFonts w:cs="Arial"/>
              </w:rPr>
            </w:pPr>
            <w:r w:rsidRPr="00A178DB">
              <w:rPr>
                <w:rFonts w:cs="Arial"/>
              </w:rPr>
              <w:t>180 tablets</w:t>
            </w:r>
          </w:p>
        </w:tc>
      </w:tr>
      <w:tr w:rsidR="00F54E53" w:rsidRPr="00A178DB" w14:paraId="2ED44EB2" w14:textId="77777777" w:rsidTr="00D46A8E">
        <w:trPr>
          <w:trHeight w:val="389"/>
          <w:jc w:val="center"/>
        </w:trPr>
        <w:tc>
          <w:tcPr>
            <w:tcW w:w="3178" w:type="pct"/>
            <w:hideMark/>
          </w:tcPr>
          <w:p w14:paraId="349F9003" w14:textId="37BFB68A" w:rsidR="00F54E53" w:rsidRPr="00A178DB" w:rsidRDefault="00F54E53" w:rsidP="003C37A4">
            <w:pPr>
              <w:rPr>
                <w:rFonts w:cs="Arial"/>
              </w:rPr>
            </w:pPr>
            <w:r w:rsidRPr="00A178DB">
              <w:rPr>
                <w:rFonts w:cs="Arial"/>
              </w:rPr>
              <w:t>Dexedrine Spansule (dextroamphetamine sustained-release) 10 mg</w:t>
            </w:r>
          </w:p>
        </w:tc>
        <w:tc>
          <w:tcPr>
            <w:tcW w:w="921" w:type="pct"/>
            <w:hideMark/>
          </w:tcPr>
          <w:p w14:paraId="68649AE7" w14:textId="77777777" w:rsidR="00F54E53" w:rsidRPr="00A178DB" w:rsidRDefault="00F54E53" w:rsidP="003C37A4">
            <w:pPr>
              <w:rPr>
                <w:rFonts w:cs="Arial"/>
              </w:rPr>
            </w:pPr>
            <w:r w:rsidRPr="00A178DB">
              <w:rPr>
                <w:rFonts w:cs="Arial"/>
              </w:rPr>
              <w:t>150 capsules</w:t>
            </w:r>
          </w:p>
        </w:tc>
        <w:tc>
          <w:tcPr>
            <w:tcW w:w="901" w:type="pct"/>
            <w:hideMark/>
          </w:tcPr>
          <w:p w14:paraId="76978B9F" w14:textId="77777777" w:rsidR="00F54E53" w:rsidRPr="00A178DB" w:rsidRDefault="00F54E53" w:rsidP="003C37A4">
            <w:pPr>
              <w:rPr>
                <w:rFonts w:cs="Arial"/>
              </w:rPr>
            </w:pPr>
            <w:r w:rsidRPr="00A178DB">
              <w:rPr>
                <w:rFonts w:cs="Arial"/>
              </w:rPr>
              <w:t>450 capsules</w:t>
            </w:r>
          </w:p>
        </w:tc>
      </w:tr>
      <w:tr w:rsidR="00F54E53" w:rsidRPr="00A178DB" w14:paraId="583617B9" w14:textId="77777777" w:rsidTr="00D46A8E">
        <w:trPr>
          <w:trHeight w:val="389"/>
          <w:jc w:val="center"/>
        </w:trPr>
        <w:tc>
          <w:tcPr>
            <w:tcW w:w="3178" w:type="pct"/>
            <w:hideMark/>
          </w:tcPr>
          <w:p w14:paraId="21DBC6ED" w14:textId="77777777" w:rsidR="00F54E53" w:rsidRPr="00A178DB" w:rsidRDefault="00F54E53" w:rsidP="003C37A4">
            <w:pPr>
              <w:rPr>
                <w:rFonts w:cs="Arial"/>
              </w:rPr>
            </w:pPr>
            <w:r w:rsidRPr="00A178DB">
              <w:rPr>
                <w:rFonts w:cs="Arial"/>
              </w:rPr>
              <w:t>Dexedrine Spansule (dextroamphetamine sustained-release) 15 mg</w:t>
            </w:r>
          </w:p>
        </w:tc>
        <w:tc>
          <w:tcPr>
            <w:tcW w:w="921" w:type="pct"/>
            <w:hideMark/>
          </w:tcPr>
          <w:p w14:paraId="076B37C9" w14:textId="77777777" w:rsidR="00F54E53" w:rsidRPr="00A178DB" w:rsidRDefault="00F54E53" w:rsidP="003C37A4">
            <w:pPr>
              <w:rPr>
                <w:rFonts w:cs="Arial"/>
              </w:rPr>
            </w:pPr>
            <w:r w:rsidRPr="00A178DB">
              <w:rPr>
                <w:rFonts w:cs="Arial"/>
              </w:rPr>
              <w:t>120 capsules</w:t>
            </w:r>
          </w:p>
        </w:tc>
        <w:tc>
          <w:tcPr>
            <w:tcW w:w="901" w:type="pct"/>
            <w:hideMark/>
          </w:tcPr>
          <w:p w14:paraId="3747CAA6" w14:textId="77777777" w:rsidR="00F54E53" w:rsidRPr="00A178DB" w:rsidRDefault="00F54E53" w:rsidP="003C37A4">
            <w:pPr>
              <w:rPr>
                <w:rFonts w:cs="Arial"/>
              </w:rPr>
            </w:pPr>
            <w:r w:rsidRPr="00A178DB">
              <w:rPr>
                <w:rFonts w:cs="Arial"/>
              </w:rPr>
              <w:t>360 capsules</w:t>
            </w:r>
          </w:p>
        </w:tc>
      </w:tr>
      <w:tr w:rsidR="00503359" w:rsidRPr="00A178DB" w14:paraId="784F5B89" w14:textId="77777777" w:rsidTr="00D46A8E">
        <w:trPr>
          <w:trHeight w:val="389"/>
          <w:jc w:val="center"/>
        </w:trPr>
        <w:tc>
          <w:tcPr>
            <w:tcW w:w="3178" w:type="pct"/>
          </w:tcPr>
          <w:p w14:paraId="21202C06" w14:textId="259F9A31" w:rsidR="00503359" w:rsidRPr="00A178DB" w:rsidRDefault="00503359" w:rsidP="00503359">
            <w:pPr>
              <w:rPr>
                <w:rFonts w:cs="Arial"/>
              </w:rPr>
            </w:pPr>
            <w:r>
              <w:rPr>
                <w:rFonts w:cs="Arial"/>
              </w:rPr>
              <w:t>Dextroamphetamine extended-release 5 mg</w:t>
            </w:r>
          </w:p>
        </w:tc>
        <w:tc>
          <w:tcPr>
            <w:tcW w:w="921" w:type="pct"/>
          </w:tcPr>
          <w:p w14:paraId="6A45A7A3" w14:textId="76EB127A" w:rsidR="00503359" w:rsidRPr="00A178DB" w:rsidRDefault="00503359" w:rsidP="00503359">
            <w:pPr>
              <w:rPr>
                <w:rFonts w:cs="Arial"/>
              </w:rPr>
            </w:pPr>
            <w:r>
              <w:rPr>
                <w:rFonts w:cs="Arial"/>
              </w:rPr>
              <w:t>150 capsules</w:t>
            </w:r>
          </w:p>
        </w:tc>
        <w:tc>
          <w:tcPr>
            <w:tcW w:w="901" w:type="pct"/>
          </w:tcPr>
          <w:p w14:paraId="0D3D00AB" w14:textId="3330D9DE" w:rsidR="00503359" w:rsidRPr="00A178DB" w:rsidRDefault="00503359" w:rsidP="00503359">
            <w:pPr>
              <w:rPr>
                <w:rFonts w:cs="Arial"/>
              </w:rPr>
            </w:pPr>
            <w:r>
              <w:rPr>
                <w:rFonts w:cs="Arial"/>
              </w:rPr>
              <w:t>450 capsules</w:t>
            </w:r>
          </w:p>
        </w:tc>
      </w:tr>
      <w:tr w:rsidR="00503359" w:rsidRPr="00A178DB" w14:paraId="71E28922" w14:textId="64DC865D" w:rsidTr="00D46A8E">
        <w:trPr>
          <w:trHeight w:val="389"/>
          <w:jc w:val="center"/>
        </w:trPr>
        <w:tc>
          <w:tcPr>
            <w:tcW w:w="3178" w:type="pct"/>
          </w:tcPr>
          <w:p w14:paraId="2E38F0BF" w14:textId="3230AF53" w:rsidR="00503359" w:rsidRPr="00A178DB" w:rsidRDefault="00503359" w:rsidP="00503359">
            <w:pPr>
              <w:rPr>
                <w:rFonts w:cs="Arial"/>
              </w:rPr>
            </w:pPr>
            <w:r w:rsidRPr="00A178DB">
              <w:rPr>
                <w:rFonts w:cs="Arial"/>
              </w:rPr>
              <w:t>Dextroamphetamine 5 mg, 10 mg</w:t>
            </w:r>
          </w:p>
        </w:tc>
        <w:tc>
          <w:tcPr>
            <w:tcW w:w="921" w:type="pct"/>
          </w:tcPr>
          <w:p w14:paraId="59788F60" w14:textId="1E5171B3" w:rsidR="00503359" w:rsidRPr="00A178DB" w:rsidRDefault="00503359" w:rsidP="00503359">
            <w:pPr>
              <w:rPr>
                <w:rFonts w:cs="Arial"/>
              </w:rPr>
            </w:pPr>
            <w:r w:rsidRPr="00A178DB">
              <w:rPr>
                <w:rFonts w:cs="Arial"/>
              </w:rPr>
              <w:t>180 tablets</w:t>
            </w:r>
          </w:p>
        </w:tc>
        <w:tc>
          <w:tcPr>
            <w:tcW w:w="901" w:type="pct"/>
          </w:tcPr>
          <w:p w14:paraId="0121345D" w14:textId="1456E6AF" w:rsidR="00503359" w:rsidRPr="00A178DB" w:rsidRDefault="00503359" w:rsidP="00503359">
            <w:pPr>
              <w:rPr>
                <w:rFonts w:cs="Arial"/>
              </w:rPr>
            </w:pPr>
            <w:r w:rsidRPr="00A178DB">
              <w:rPr>
                <w:rFonts w:cs="Arial"/>
              </w:rPr>
              <w:t>540 tablets</w:t>
            </w:r>
          </w:p>
        </w:tc>
      </w:tr>
      <w:tr w:rsidR="00503359" w:rsidRPr="00A178DB" w14:paraId="7AE7D6AC" w14:textId="77777777" w:rsidTr="00D46A8E">
        <w:trPr>
          <w:trHeight w:val="389"/>
          <w:jc w:val="center"/>
        </w:trPr>
        <w:tc>
          <w:tcPr>
            <w:tcW w:w="3178" w:type="pct"/>
            <w:hideMark/>
          </w:tcPr>
          <w:p w14:paraId="1AB3C3C8" w14:textId="77777777" w:rsidR="00503359" w:rsidRPr="00A178DB" w:rsidRDefault="00503359" w:rsidP="00503359">
            <w:pPr>
              <w:rPr>
                <w:rFonts w:cs="Arial"/>
              </w:rPr>
            </w:pPr>
            <w:r w:rsidRPr="00A178DB">
              <w:t>Evekeo (amphetamine) 5 mg, 10 mg</w:t>
            </w:r>
          </w:p>
        </w:tc>
        <w:tc>
          <w:tcPr>
            <w:tcW w:w="921" w:type="pct"/>
            <w:hideMark/>
          </w:tcPr>
          <w:p w14:paraId="7D6A9A5B" w14:textId="77777777" w:rsidR="00503359" w:rsidRPr="00A178DB" w:rsidRDefault="00503359" w:rsidP="00503359">
            <w:pPr>
              <w:rPr>
                <w:rFonts w:cs="Arial"/>
              </w:rPr>
            </w:pPr>
            <w:r w:rsidRPr="00A178DB">
              <w:rPr>
                <w:rFonts w:cs="Arial"/>
              </w:rPr>
              <w:t>180 tablets</w:t>
            </w:r>
          </w:p>
        </w:tc>
        <w:tc>
          <w:tcPr>
            <w:tcW w:w="901" w:type="pct"/>
            <w:hideMark/>
          </w:tcPr>
          <w:p w14:paraId="7DB098EE" w14:textId="77777777" w:rsidR="00503359" w:rsidRPr="00A178DB" w:rsidRDefault="00503359" w:rsidP="00503359">
            <w:pPr>
              <w:rPr>
                <w:rFonts w:cs="Arial"/>
              </w:rPr>
            </w:pPr>
            <w:r w:rsidRPr="00A178DB">
              <w:rPr>
                <w:rFonts w:cs="Arial"/>
              </w:rPr>
              <w:t>540 tablets</w:t>
            </w:r>
          </w:p>
        </w:tc>
      </w:tr>
      <w:tr w:rsidR="00503359" w:rsidRPr="00A178DB" w14:paraId="2B22E08B" w14:textId="77777777" w:rsidTr="00D46A8E">
        <w:trPr>
          <w:trHeight w:val="389"/>
          <w:jc w:val="center"/>
        </w:trPr>
        <w:tc>
          <w:tcPr>
            <w:tcW w:w="3178" w:type="pct"/>
            <w:hideMark/>
          </w:tcPr>
          <w:p w14:paraId="2B237A33" w14:textId="0E896457" w:rsidR="00503359" w:rsidRPr="00A178DB" w:rsidRDefault="00503359" w:rsidP="00503359">
            <w:pPr>
              <w:rPr>
                <w:rFonts w:cs="Arial"/>
              </w:rPr>
            </w:pPr>
            <w:r w:rsidRPr="00A178DB">
              <w:rPr>
                <w:rFonts w:cs="Arial"/>
              </w:rPr>
              <w:t>ProCentra (dextroamphetamine) oral solution 5 mg</w:t>
            </w:r>
            <w:r w:rsidR="00E81643">
              <w:rPr>
                <w:rFonts w:cs="Arial"/>
              </w:rPr>
              <w:t xml:space="preserve"> </w:t>
            </w:r>
            <w:r w:rsidRPr="00A178DB">
              <w:rPr>
                <w:rFonts w:cs="Arial"/>
              </w:rPr>
              <w:t>/</w:t>
            </w:r>
            <w:r w:rsidR="00E81643">
              <w:rPr>
                <w:rFonts w:cs="Arial"/>
              </w:rPr>
              <w:t xml:space="preserve"> </w:t>
            </w:r>
            <w:r w:rsidRPr="00A178DB">
              <w:rPr>
                <w:rFonts w:cs="Arial"/>
              </w:rPr>
              <w:t>5 mL</w:t>
            </w:r>
          </w:p>
        </w:tc>
        <w:tc>
          <w:tcPr>
            <w:tcW w:w="921" w:type="pct"/>
            <w:hideMark/>
          </w:tcPr>
          <w:p w14:paraId="0B13B7CB" w14:textId="77777777" w:rsidR="00503359" w:rsidRPr="00A178DB" w:rsidRDefault="00503359" w:rsidP="00503359">
            <w:pPr>
              <w:rPr>
                <w:rFonts w:cs="Arial"/>
              </w:rPr>
            </w:pPr>
            <w:r w:rsidRPr="00A178DB">
              <w:rPr>
                <w:rFonts w:cs="Arial"/>
              </w:rPr>
              <w:t>1,800 mL</w:t>
            </w:r>
          </w:p>
        </w:tc>
        <w:tc>
          <w:tcPr>
            <w:tcW w:w="901" w:type="pct"/>
            <w:hideMark/>
          </w:tcPr>
          <w:p w14:paraId="0E7EA23E" w14:textId="77777777" w:rsidR="00503359" w:rsidRPr="00A178DB" w:rsidRDefault="00503359" w:rsidP="00503359">
            <w:pPr>
              <w:rPr>
                <w:rFonts w:cs="Arial"/>
              </w:rPr>
            </w:pPr>
            <w:r w:rsidRPr="00A178DB">
              <w:rPr>
                <w:rFonts w:cs="Arial"/>
              </w:rPr>
              <w:t>5,400 mL</w:t>
            </w:r>
          </w:p>
        </w:tc>
      </w:tr>
      <w:tr w:rsidR="00503359" w:rsidRPr="00A178DB" w14:paraId="50516EA2" w14:textId="77777777" w:rsidTr="00D46A8E">
        <w:trPr>
          <w:trHeight w:val="389"/>
          <w:jc w:val="center"/>
        </w:trPr>
        <w:tc>
          <w:tcPr>
            <w:tcW w:w="3178" w:type="pct"/>
            <w:hideMark/>
          </w:tcPr>
          <w:p w14:paraId="740CFAED" w14:textId="77777777" w:rsidR="00503359" w:rsidRPr="00A178DB" w:rsidRDefault="00503359" w:rsidP="00503359">
            <w:pPr>
              <w:rPr>
                <w:rFonts w:cs="Arial"/>
              </w:rPr>
            </w:pPr>
            <w:r w:rsidRPr="00A178DB">
              <w:t>Zenzedi (dextroamphetamine) 2.5 mg, 5 mg, 7.5 mg, 10 mg</w:t>
            </w:r>
          </w:p>
        </w:tc>
        <w:tc>
          <w:tcPr>
            <w:tcW w:w="921" w:type="pct"/>
            <w:hideMark/>
          </w:tcPr>
          <w:p w14:paraId="31034C69" w14:textId="77777777" w:rsidR="00503359" w:rsidRPr="00A178DB" w:rsidRDefault="00503359" w:rsidP="00503359">
            <w:pPr>
              <w:rPr>
                <w:rFonts w:cs="Arial"/>
              </w:rPr>
            </w:pPr>
            <w:r w:rsidRPr="00A178DB">
              <w:rPr>
                <w:rFonts w:cs="Arial"/>
              </w:rPr>
              <w:t>180 tablets</w:t>
            </w:r>
          </w:p>
        </w:tc>
        <w:tc>
          <w:tcPr>
            <w:tcW w:w="901" w:type="pct"/>
            <w:hideMark/>
          </w:tcPr>
          <w:p w14:paraId="66972ACA" w14:textId="77777777" w:rsidR="00503359" w:rsidRPr="00A178DB" w:rsidRDefault="00503359" w:rsidP="00503359">
            <w:pPr>
              <w:rPr>
                <w:rFonts w:cs="Arial"/>
              </w:rPr>
            </w:pPr>
            <w:r w:rsidRPr="00A178DB">
              <w:rPr>
                <w:rFonts w:cs="Arial"/>
              </w:rPr>
              <w:t>540 tablets</w:t>
            </w:r>
          </w:p>
        </w:tc>
      </w:tr>
      <w:tr w:rsidR="00503359" w:rsidRPr="00A178DB" w14:paraId="2EF93449" w14:textId="77777777" w:rsidTr="00D46A8E">
        <w:trPr>
          <w:trHeight w:val="389"/>
          <w:jc w:val="center"/>
        </w:trPr>
        <w:tc>
          <w:tcPr>
            <w:tcW w:w="3178" w:type="pct"/>
            <w:hideMark/>
          </w:tcPr>
          <w:p w14:paraId="5F0E223A" w14:textId="77777777" w:rsidR="00503359" w:rsidRPr="00A178DB" w:rsidRDefault="00503359" w:rsidP="00503359">
            <w:pPr>
              <w:rPr>
                <w:rFonts w:cs="Arial"/>
              </w:rPr>
            </w:pPr>
            <w:bookmarkStart w:id="5" w:name="_Hlk109137941"/>
            <w:r w:rsidRPr="00A178DB">
              <w:t>Zenzedi (dextroamphetamine) 15 mg</w:t>
            </w:r>
          </w:p>
        </w:tc>
        <w:tc>
          <w:tcPr>
            <w:tcW w:w="921" w:type="pct"/>
            <w:hideMark/>
          </w:tcPr>
          <w:p w14:paraId="3C44020F" w14:textId="77777777" w:rsidR="00503359" w:rsidRPr="00A178DB" w:rsidRDefault="00503359" w:rsidP="00503359">
            <w:pPr>
              <w:rPr>
                <w:rFonts w:cs="Arial"/>
              </w:rPr>
            </w:pPr>
            <w:r w:rsidRPr="00A178DB">
              <w:rPr>
                <w:rFonts w:cs="Arial"/>
              </w:rPr>
              <w:t>120 tablets</w:t>
            </w:r>
          </w:p>
        </w:tc>
        <w:tc>
          <w:tcPr>
            <w:tcW w:w="901" w:type="pct"/>
            <w:hideMark/>
          </w:tcPr>
          <w:p w14:paraId="180FBE03" w14:textId="77777777" w:rsidR="00503359" w:rsidRPr="00A178DB" w:rsidRDefault="00503359" w:rsidP="00503359">
            <w:pPr>
              <w:rPr>
                <w:rFonts w:cs="Arial"/>
              </w:rPr>
            </w:pPr>
            <w:r w:rsidRPr="00A178DB">
              <w:rPr>
                <w:rFonts w:cs="Arial"/>
              </w:rPr>
              <w:t>360 tablets</w:t>
            </w:r>
          </w:p>
        </w:tc>
      </w:tr>
      <w:tr w:rsidR="00503359" w:rsidRPr="00A178DB" w14:paraId="5806AF15" w14:textId="77777777" w:rsidTr="00D46A8E">
        <w:trPr>
          <w:trHeight w:val="389"/>
          <w:jc w:val="center"/>
        </w:trPr>
        <w:tc>
          <w:tcPr>
            <w:tcW w:w="3178" w:type="pct"/>
            <w:hideMark/>
          </w:tcPr>
          <w:p w14:paraId="29579B07" w14:textId="77777777" w:rsidR="00503359" w:rsidRPr="00A178DB" w:rsidRDefault="00503359" w:rsidP="00503359">
            <w:r w:rsidRPr="00A178DB">
              <w:t>Zenzedi (dextroamphetamine) 20 mg</w:t>
            </w:r>
          </w:p>
        </w:tc>
        <w:tc>
          <w:tcPr>
            <w:tcW w:w="921" w:type="pct"/>
            <w:hideMark/>
          </w:tcPr>
          <w:p w14:paraId="20E33276" w14:textId="77777777" w:rsidR="00503359" w:rsidRPr="00A178DB" w:rsidRDefault="00503359" w:rsidP="00503359">
            <w:r w:rsidRPr="00A178DB">
              <w:t xml:space="preserve">90 </w:t>
            </w:r>
            <w:r w:rsidRPr="00A178DB">
              <w:rPr>
                <w:rFonts w:cs="Arial"/>
              </w:rPr>
              <w:t>tablets</w:t>
            </w:r>
          </w:p>
        </w:tc>
        <w:tc>
          <w:tcPr>
            <w:tcW w:w="901" w:type="pct"/>
            <w:hideMark/>
          </w:tcPr>
          <w:p w14:paraId="4713A751" w14:textId="77777777" w:rsidR="00503359" w:rsidRPr="00A178DB" w:rsidRDefault="00503359" w:rsidP="00503359">
            <w:r w:rsidRPr="00A178DB">
              <w:rPr>
                <w:rFonts w:cs="Arial"/>
              </w:rPr>
              <w:t>270 tablets</w:t>
            </w:r>
          </w:p>
        </w:tc>
      </w:tr>
      <w:tr w:rsidR="00503359" w:rsidRPr="00A178DB" w14:paraId="112398DF" w14:textId="77777777" w:rsidTr="00D46A8E">
        <w:trPr>
          <w:trHeight w:val="389"/>
          <w:jc w:val="center"/>
        </w:trPr>
        <w:tc>
          <w:tcPr>
            <w:tcW w:w="3178" w:type="pct"/>
            <w:hideMark/>
          </w:tcPr>
          <w:p w14:paraId="13779E9C" w14:textId="2E64B496" w:rsidR="00503359" w:rsidRPr="00A178DB" w:rsidRDefault="00503359" w:rsidP="00503359">
            <w:pPr>
              <w:rPr>
                <w:rFonts w:cs="Arial"/>
              </w:rPr>
            </w:pPr>
            <w:r w:rsidRPr="00A178DB">
              <w:t xml:space="preserve">Zenzedi (dextroamphetamine) 30 mg </w:t>
            </w:r>
          </w:p>
        </w:tc>
        <w:tc>
          <w:tcPr>
            <w:tcW w:w="921" w:type="pct"/>
            <w:hideMark/>
          </w:tcPr>
          <w:p w14:paraId="6F0C8250" w14:textId="77777777" w:rsidR="00503359" w:rsidRPr="00A178DB" w:rsidRDefault="00503359" w:rsidP="00503359">
            <w:pPr>
              <w:rPr>
                <w:rFonts w:cs="Arial"/>
              </w:rPr>
            </w:pPr>
            <w:r w:rsidRPr="00A178DB">
              <w:t xml:space="preserve">60 </w:t>
            </w:r>
            <w:r w:rsidRPr="00A178DB">
              <w:rPr>
                <w:rFonts w:cs="Arial"/>
              </w:rPr>
              <w:t>tablets</w:t>
            </w:r>
          </w:p>
        </w:tc>
        <w:tc>
          <w:tcPr>
            <w:tcW w:w="901" w:type="pct"/>
            <w:hideMark/>
          </w:tcPr>
          <w:p w14:paraId="4DF02761" w14:textId="77777777" w:rsidR="00503359" w:rsidRPr="00A178DB" w:rsidRDefault="00503359" w:rsidP="00503359">
            <w:pPr>
              <w:rPr>
                <w:rFonts w:cs="Arial"/>
              </w:rPr>
            </w:pPr>
            <w:r w:rsidRPr="00A178DB">
              <w:t>180 tablets</w:t>
            </w:r>
          </w:p>
        </w:tc>
      </w:tr>
    </w:tbl>
    <w:bookmarkEnd w:id="5"/>
    <w:p w14:paraId="2C68874D" w14:textId="77777777" w:rsidR="0000304C" w:rsidRPr="0000304C" w:rsidRDefault="0000304C" w:rsidP="0027619E">
      <w:pPr>
        <w:pStyle w:val="Heading2"/>
      </w:pPr>
      <w:r w:rsidRPr="0000304C">
        <w:t>Duration of Approval (DOA):</w:t>
      </w:r>
    </w:p>
    <w:p w14:paraId="411B5DBA" w14:textId="3B99862E" w:rsidR="0000304C" w:rsidRPr="0000304C" w:rsidRDefault="0000304C" w:rsidP="0027619E">
      <w:pPr>
        <w:pStyle w:val="ListParagraph"/>
        <w:numPr>
          <w:ilvl w:val="0"/>
          <w:numId w:val="45"/>
        </w:numPr>
      </w:pPr>
      <w:r w:rsidRPr="0000304C">
        <w:t>1218-J: DOA: 36 months</w:t>
      </w:r>
    </w:p>
    <w:p w14:paraId="35DFEA80" w14:textId="4C2B5F53" w:rsidR="0000304C" w:rsidRPr="0000304C" w:rsidRDefault="0000304C" w:rsidP="0027619E">
      <w:pPr>
        <w:pStyle w:val="ListParagraph"/>
        <w:numPr>
          <w:ilvl w:val="0"/>
          <w:numId w:val="45"/>
        </w:numPr>
      </w:pPr>
      <w:r w:rsidRPr="0000304C">
        <w:t>683-J: DOA: 12 months</w:t>
      </w:r>
    </w:p>
    <w:p w14:paraId="17409917" w14:textId="45A10C37" w:rsidR="00C96B3F" w:rsidRPr="004768CA" w:rsidRDefault="00C96B3F" w:rsidP="00A17B27">
      <w:pPr>
        <w:pStyle w:val="Heading2"/>
        <w:keepNext w:val="0"/>
      </w:pPr>
      <w:bookmarkStart w:id="6" w:name="S2.2"/>
      <w:bookmarkStart w:id="7" w:name="section-2.2"/>
      <w:bookmarkStart w:id="8" w:name="section-2.2.1"/>
      <w:bookmarkStart w:id="9" w:name="section-2.2.2"/>
      <w:bookmarkEnd w:id="6"/>
      <w:bookmarkEnd w:id="7"/>
      <w:bookmarkEnd w:id="8"/>
      <w:bookmarkEnd w:id="9"/>
      <w:r w:rsidRPr="00A178DB">
        <w:t>References</w:t>
      </w:r>
    </w:p>
    <w:p w14:paraId="58162352" w14:textId="0953D2E0" w:rsidR="00874F21" w:rsidRPr="00A178DB" w:rsidRDefault="00874F21" w:rsidP="00D42CB3">
      <w:pPr>
        <w:pStyle w:val="ReferenceOrdered"/>
        <w:keepNext w:val="0"/>
      </w:pPr>
      <w:bookmarkStart w:id="10" w:name="_Hlk55469899"/>
      <w:r w:rsidRPr="00A178DB">
        <w:t xml:space="preserve">Adderall [package insert]. Parsippany, NJ: Teva Pharmaceuticals; </w:t>
      </w:r>
      <w:r w:rsidR="004F75D2">
        <w:t>May</w:t>
      </w:r>
      <w:r w:rsidRPr="00A178DB">
        <w:t xml:space="preserve"> 202</w:t>
      </w:r>
      <w:r w:rsidR="004F75D2">
        <w:t>4</w:t>
      </w:r>
      <w:r w:rsidRPr="00A178DB">
        <w:t>.</w:t>
      </w:r>
    </w:p>
    <w:p w14:paraId="6455F41A" w14:textId="77777777" w:rsidR="00874F21" w:rsidRPr="00A178DB" w:rsidRDefault="00874F21" w:rsidP="00D42CB3">
      <w:pPr>
        <w:pStyle w:val="ReferenceOrdered"/>
        <w:keepNext w:val="0"/>
      </w:pPr>
      <w:r w:rsidRPr="00A178DB">
        <w:t xml:space="preserve">Adderall XR [package insert]. Lexington, MA: Takeda Pharmaceuticals America, Inc.; October 2023. </w:t>
      </w:r>
    </w:p>
    <w:p w14:paraId="3849B51C" w14:textId="5BA481AF" w:rsidR="00874F21" w:rsidRPr="00A178DB" w:rsidRDefault="00874F21" w:rsidP="00D42CB3">
      <w:pPr>
        <w:pStyle w:val="ReferenceOrdered"/>
        <w:keepNext w:val="0"/>
      </w:pPr>
      <w:r w:rsidRPr="00A178DB">
        <w:t>Adzenys XR-ODT [package insert]. Grand Prairie, TX: Neos Therapeutics Brands</w:t>
      </w:r>
      <w:r w:rsidR="00997A98">
        <w:t>,</w:t>
      </w:r>
      <w:r w:rsidRPr="00A178DB">
        <w:t xml:space="preserve"> LLC; October 2023.</w:t>
      </w:r>
    </w:p>
    <w:p w14:paraId="7EB5CDAF" w14:textId="77777777" w:rsidR="00874F21" w:rsidRDefault="00874F21" w:rsidP="00D42CB3">
      <w:pPr>
        <w:pStyle w:val="ReferenceOrdered"/>
        <w:keepNext w:val="0"/>
      </w:pPr>
      <w:r w:rsidRPr="00A178DB">
        <w:t>Aptensio XR [package insert]. Wilson, NC: Rhodes Pharmaceuticals; October 2023.</w:t>
      </w:r>
    </w:p>
    <w:p w14:paraId="4D5363DE" w14:textId="47DB032A" w:rsidR="000455E2" w:rsidRPr="00A178DB" w:rsidRDefault="00197623" w:rsidP="00197623">
      <w:pPr>
        <w:pStyle w:val="ReferenceOrdered"/>
        <w:keepNext w:val="0"/>
      </w:pPr>
      <w:r>
        <w:t>Arynta [package insert]. Woborn, MA: Azurity Pharmaceuticals, Inc.; June 2025.</w:t>
      </w:r>
    </w:p>
    <w:p w14:paraId="1FA09C9A" w14:textId="2AB7CB29" w:rsidR="00874F21" w:rsidRPr="00A178DB" w:rsidRDefault="00874F21" w:rsidP="00D42CB3">
      <w:pPr>
        <w:pStyle w:val="ReferenceOrdered"/>
        <w:keepNext w:val="0"/>
        <w:rPr>
          <w:bCs/>
        </w:rPr>
      </w:pPr>
      <w:r w:rsidRPr="00A178DB">
        <w:t xml:space="preserve">Azstarys [package insert]. </w:t>
      </w:r>
      <w:r w:rsidR="00997A98">
        <w:t>Boston</w:t>
      </w:r>
      <w:r w:rsidRPr="00A178DB">
        <w:t>, M</w:t>
      </w:r>
      <w:r w:rsidR="00997A98">
        <w:t>A</w:t>
      </w:r>
      <w:r w:rsidRPr="00A178DB">
        <w:t xml:space="preserve">: Corium, </w:t>
      </w:r>
      <w:r w:rsidR="00997A98">
        <w:t>LLC</w:t>
      </w:r>
      <w:r w:rsidRPr="00A178DB">
        <w:t xml:space="preserve">; </w:t>
      </w:r>
      <w:r w:rsidR="00997A98">
        <w:t>October</w:t>
      </w:r>
      <w:r w:rsidRPr="00A178DB">
        <w:t xml:space="preserve"> 202</w:t>
      </w:r>
      <w:r w:rsidR="00997A98">
        <w:t>3</w:t>
      </w:r>
      <w:r w:rsidRPr="00A178DB">
        <w:t>.</w:t>
      </w:r>
    </w:p>
    <w:p w14:paraId="6FA47451" w14:textId="77777777" w:rsidR="00874F21" w:rsidRPr="00A178DB" w:rsidRDefault="00874F21" w:rsidP="00D42CB3">
      <w:pPr>
        <w:pStyle w:val="ReferenceOrdered"/>
        <w:keepNext w:val="0"/>
      </w:pPr>
      <w:r w:rsidRPr="00A178DB">
        <w:t>Concerta [package insert]. Titusville, NJ: Janssen Pharmaceuticals, Inc.; October 2023.</w:t>
      </w:r>
    </w:p>
    <w:p w14:paraId="130F465B" w14:textId="67F9A1B5" w:rsidR="00874F21" w:rsidRPr="00A178DB" w:rsidRDefault="00874F21" w:rsidP="00D42CB3">
      <w:pPr>
        <w:pStyle w:val="ReferenceOrdered"/>
        <w:keepNext w:val="0"/>
      </w:pPr>
      <w:r w:rsidRPr="00A178DB">
        <w:rPr>
          <w:lang w:val="nn-NO"/>
        </w:rPr>
        <w:t xml:space="preserve">Cotempla XR-ODT [package insert]. </w:t>
      </w:r>
      <w:r w:rsidRPr="00A178DB">
        <w:t>Grand Prairie, TX: Neos Therapeutics Brands, LLC; June 2021.</w:t>
      </w:r>
    </w:p>
    <w:p w14:paraId="4C0ADF82" w14:textId="7A639E5F" w:rsidR="00874F21" w:rsidRPr="00A178DB" w:rsidRDefault="00874F21" w:rsidP="00D42CB3">
      <w:pPr>
        <w:pStyle w:val="ReferenceOrdered"/>
        <w:keepNext w:val="0"/>
      </w:pPr>
      <w:r w:rsidRPr="00A178DB">
        <w:t xml:space="preserve">Daytrana [package insert]. Miami, FL: Noven Therapeutics, LLC; </w:t>
      </w:r>
      <w:r w:rsidR="00B974FD">
        <w:t>April</w:t>
      </w:r>
      <w:r w:rsidRPr="00A178DB">
        <w:t xml:space="preserve"> 202</w:t>
      </w:r>
      <w:r w:rsidR="00B974FD">
        <w:t>4</w:t>
      </w:r>
      <w:r w:rsidRPr="00A178DB">
        <w:t>.</w:t>
      </w:r>
    </w:p>
    <w:p w14:paraId="582D5EE2" w14:textId="7BDD198B" w:rsidR="00874F21" w:rsidRPr="00A178DB" w:rsidRDefault="00874F21" w:rsidP="00D42CB3">
      <w:pPr>
        <w:pStyle w:val="ReferenceOrdered"/>
        <w:keepNext w:val="0"/>
      </w:pPr>
      <w:r w:rsidRPr="00A178DB">
        <w:t xml:space="preserve">Desoxyn [package insert]. </w:t>
      </w:r>
      <w:r w:rsidR="00B974FD">
        <w:t>Tampa</w:t>
      </w:r>
      <w:r w:rsidRPr="00A178DB">
        <w:t xml:space="preserve">, </w:t>
      </w:r>
      <w:r w:rsidR="00B974FD">
        <w:t>FL</w:t>
      </w:r>
      <w:r w:rsidRPr="00A178DB">
        <w:t xml:space="preserve">: </w:t>
      </w:r>
      <w:r w:rsidR="00B974FD">
        <w:t>Ajenat</w:t>
      </w:r>
      <w:r w:rsidRPr="00A178DB">
        <w:t xml:space="preserve"> Pharmaceuticals</w:t>
      </w:r>
      <w:r w:rsidR="00E5471A">
        <w:t>, LLC</w:t>
      </w:r>
      <w:r w:rsidRPr="00A178DB">
        <w:t>;</w:t>
      </w:r>
      <w:r w:rsidRPr="00A178DB">
        <w:rPr>
          <w:bCs/>
        </w:rPr>
        <w:t xml:space="preserve"> </w:t>
      </w:r>
      <w:r w:rsidR="00E5471A">
        <w:rPr>
          <w:bCs/>
        </w:rPr>
        <w:t>September</w:t>
      </w:r>
      <w:r w:rsidRPr="00A178DB">
        <w:t xml:space="preserve"> 202</w:t>
      </w:r>
      <w:r w:rsidR="00E5471A">
        <w:t>4</w:t>
      </w:r>
      <w:r w:rsidRPr="00A178DB">
        <w:t>.</w:t>
      </w:r>
    </w:p>
    <w:p w14:paraId="5F9DEA14" w14:textId="77777777" w:rsidR="00874F21" w:rsidRPr="00A178DB" w:rsidRDefault="00874F21" w:rsidP="00D42CB3">
      <w:pPr>
        <w:pStyle w:val="ReferenceOrdered"/>
        <w:keepNext w:val="0"/>
      </w:pPr>
      <w:r w:rsidRPr="00A178DB">
        <w:t>Dexedrine Spansule [package insert]. Bridgewater, NJ: Amneal Pharmaceuticals LLC; October 2023.</w:t>
      </w:r>
    </w:p>
    <w:p w14:paraId="4829E346" w14:textId="3AD6C0B7" w:rsidR="00874F21" w:rsidRPr="00A178DB" w:rsidRDefault="00874F21" w:rsidP="00D42CB3">
      <w:pPr>
        <w:pStyle w:val="ReferenceOrdered"/>
        <w:keepNext w:val="0"/>
      </w:pPr>
      <w:r w:rsidRPr="00A178DB">
        <w:t xml:space="preserve">Dextroamphetamine sulfate [package insert]. </w:t>
      </w:r>
      <w:r w:rsidR="002F298E">
        <w:t>Parsippany</w:t>
      </w:r>
      <w:r w:rsidRPr="00A178DB">
        <w:t>, NJ: T</w:t>
      </w:r>
      <w:r w:rsidR="002F298E">
        <w:t>eva</w:t>
      </w:r>
      <w:r w:rsidRPr="00A178DB">
        <w:t xml:space="preserve"> Pharma</w:t>
      </w:r>
      <w:r w:rsidR="002F298E">
        <w:t>ceuticals</w:t>
      </w:r>
      <w:r w:rsidRPr="00A178DB">
        <w:t xml:space="preserve">; </w:t>
      </w:r>
      <w:r w:rsidR="00876A21">
        <w:t>September</w:t>
      </w:r>
      <w:r w:rsidRPr="00A178DB">
        <w:t xml:space="preserve"> 2023.</w:t>
      </w:r>
    </w:p>
    <w:p w14:paraId="0A00BE63" w14:textId="77777777" w:rsidR="00874F21" w:rsidRPr="00A178DB" w:rsidRDefault="00874F21" w:rsidP="00D42CB3">
      <w:pPr>
        <w:pStyle w:val="ReferenceOrdered"/>
        <w:keepNext w:val="0"/>
      </w:pPr>
      <w:r w:rsidRPr="00A178DB">
        <w:t>Dyanavel XR [package insert]. Monmouth Junction, NJ: Tris Pharma, Inc; October 2023.</w:t>
      </w:r>
    </w:p>
    <w:p w14:paraId="59949A27" w14:textId="7ADA703A" w:rsidR="00874F21" w:rsidRPr="00A178DB" w:rsidRDefault="00874F21" w:rsidP="00D42CB3">
      <w:pPr>
        <w:pStyle w:val="ReferenceOrdered"/>
        <w:keepNext w:val="0"/>
      </w:pPr>
      <w:r w:rsidRPr="00A178DB">
        <w:t xml:space="preserve">Evekeo [package insert]. Atlanta, GA: Arbor Pharmaceuticals, LLC; </w:t>
      </w:r>
      <w:r w:rsidR="00E927B1">
        <w:t>October</w:t>
      </w:r>
      <w:r w:rsidRPr="00A178DB">
        <w:t xml:space="preserve"> 202</w:t>
      </w:r>
      <w:r w:rsidR="00E927B1">
        <w:t>3</w:t>
      </w:r>
      <w:r w:rsidRPr="00A178DB">
        <w:t>.</w:t>
      </w:r>
    </w:p>
    <w:p w14:paraId="34EAC13B" w14:textId="77777777" w:rsidR="00874F21" w:rsidRPr="00A178DB" w:rsidRDefault="00874F21" w:rsidP="00D42CB3">
      <w:pPr>
        <w:pStyle w:val="ReferenceOrdered"/>
        <w:keepNext w:val="0"/>
      </w:pPr>
      <w:r w:rsidRPr="00A178DB">
        <w:t>Evekeo ODT [package insert]. Atlanta, GA: Arbor Pharmaceuticals, LLC; October 2023.</w:t>
      </w:r>
    </w:p>
    <w:p w14:paraId="2D03BFF6" w14:textId="77777777" w:rsidR="00874F21" w:rsidRPr="00A178DB" w:rsidRDefault="00874F21" w:rsidP="00D42CB3">
      <w:pPr>
        <w:pStyle w:val="ReferenceOrdered"/>
        <w:keepNext w:val="0"/>
      </w:pPr>
      <w:r w:rsidRPr="00A178DB">
        <w:t xml:space="preserve">Focalin [package insert]. East Hanover, NJ: Novartis Pharmaceuticals Corporation; </w:t>
      </w:r>
      <w:bookmarkStart w:id="11" w:name="OLE_LINK2"/>
      <w:r w:rsidRPr="00A178DB">
        <w:t>October 2023</w:t>
      </w:r>
      <w:bookmarkEnd w:id="11"/>
      <w:r w:rsidRPr="00A178DB">
        <w:t>.</w:t>
      </w:r>
    </w:p>
    <w:p w14:paraId="03E81DCF" w14:textId="77777777" w:rsidR="00874F21" w:rsidRPr="00A178DB" w:rsidRDefault="00874F21" w:rsidP="00D42CB3">
      <w:pPr>
        <w:pStyle w:val="ReferenceOrdered"/>
        <w:keepNext w:val="0"/>
      </w:pPr>
      <w:r w:rsidRPr="00A178DB">
        <w:t>Focalin XR [package insert]. East Hanover, NJ: Novartis Pharmaceuticals Corporation; October 2023.</w:t>
      </w:r>
    </w:p>
    <w:p w14:paraId="7ACC2EB7" w14:textId="77777777" w:rsidR="00874F21" w:rsidRPr="00A178DB" w:rsidRDefault="00874F21" w:rsidP="00D42CB3">
      <w:pPr>
        <w:pStyle w:val="ReferenceOrdered"/>
        <w:keepNext w:val="0"/>
      </w:pPr>
      <w:r w:rsidRPr="00A178DB">
        <w:t xml:space="preserve">Jornay PM [package insert]. Morrisville, NC: Ironshore Pharmaceuticals Inc.; </w:t>
      </w:r>
      <w:bookmarkStart w:id="12" w:name="OLE_LINK3"/>
      <w:r w:rsidRPr="00A178DB">
        <w:t>October 2023</w:t>
      </w:r>
      <w:bookmarkEnd w:id="12"/>
      <w:r w:rsidRPr="00A178DB">
        <w:t>.</w:t>
      </w:r>
    </w:p>
    <w:p w14:paraId="66604BEC" w14:textId="7C9C9BFF" w:rsidR="00B73D87" w:rsidRDefault="00E927B1" w:rsidP="00D42CB3">
      <w:pPr>
        <w:pStyle w:val="ReferenceOrdered"/>
        <w:keepNext w:val="0"/>
      </w:pPr>
      <w:r>
        <w:t>Metadate CD [package insert]. Denver, CO: Aytu</w:t>
      </w:r>
      <w:r w:rsidR="002B5EB4">
        <w:t xml:space="preserve"> </w:t>
      </w:r>
      <w:r>
        <w:t>BioPharma</w:t>
      </w:r>
      <w:r w:rsidR="00B73D87">
        <w:t>; October 2023.</w:t>
      </w:r>
    </w:p>
    <w:p w14:paraId="06291C3E" w14:textId="29106578" w:rsidR="00874F21" w:rsidRPr="00A178DB" w:rsidRDefault="00874F21" w:rsidP="00D42CB3">
      <w:pPr>
        <w:pStyle w:val="ReferenceOrdered"/>
        <w:keepNext w:val="0"/>
      </w:pPr>
      <w:r w:rsidRPr="00A178DB">
        <w:t xml:space="preserve">Methylin Solution [package insert]. Florham Park, NJ: Shionogi Inc.; </w:t>
      </w:r>
      <w:r w:rsidR="00B73D87">
        <w:t>November</w:t>
      </w:r>
      <w:r w:rsidRPr="00A178DB">
        <w:t xml:space="preserve"> 2023.</w:t>
      </w:r>
    </w:p>
    <w:p w14:paraId="2373D618" w14:textId="77777777" w:rsidR="00FB45EA" w:rsidRPr="00CB01E1" w:rsidRDefault="00FB45EA" w:rsidP="00FB45EA">
      <w:pPr>
        <w:pStyle w:val="List"/>
        <w:keepLines/>
        <w:numPr>
          <w:ilvl w:val="0"/>
          <w:numId w:val="2"/>
        </w:numPr>
        <w:rPr>
          <w:rFonts w:cs="Arial"/>
        </w:rPr>
      </w:pPr>
      <w:r w:rsidRPr="00CB01E1">
        <w:rPr>
          <w:rFonts w:cs="Arial"/>
        </w:rPr>
        <w:t>Methylphenidate Hydrochloride Chewable Tablets [package insert]. Lawrenceville, GA: XLCare Pharmaceuticals, Inc.; September 2023.</w:t>
      </w:r>
    </w:p>
    <w:p w14:paraId="2DE90CE5" w14:textId="77777777" w:rsidR="00FB45EA" w:rsidRPr="00CB01E1" w:rsidRDefault="00FB45EA" w:rsidP="00FB45EA">
      <w:pPr>
        <w:pStyle w:val="List"/>
        <w:keepLines/>
        <w:numPr>
          <w:ilvl w:val="0"/>
          <w:numId w:val="2"/>
        </w:numPr>
        <w:rPr>
          <w:rFonts w:cs="Arial"/>
        </w:rPr>
      </w:pPr>
      <w:r>
        <w:rPr>
          <w:rFonts w:cs="Arial"/>
        </w:rPr>
        <w:t>Methylphenidate Hydrochloride Extended Release Tablet [package insert]. Newtown, PA: KVK-Tech, Inc.; February 2024.</w:t>
      </w:r>
    </w:p>
    <w:p w14:paraId="722D3071" w14:textId="0A5C540C" w:rsidR="00874F21" w:rsidRPr="00A178DB" w:rsidRDefault="00874F21" w:rsidP="00D42CB3">
      <w:pPr>
        <w:pStyle w:val="ReferenceOrdered"/>
        <w:keepNext w:val="0"/>
      </w:pPr>
      <w:r w:rsidRPr="00A178DB">
        <w:t>Methylphenidate Hydrochloride (</w:t>
      </w:r>
      <w:r w:rsidR="00FB45EA">
        <w:t>LA</w:t>
      </w:r>
      <w:r w:rsidRPr="00A178DB">
        <w:t xml:space="preserve">) [package insert]. </w:t>
      </w:r>
      <w:r w:rsidR="00FB45EA">
        <w:t>Raleigh</w:t>
      </w:r>
      <w:r w:rsidRPr="00A178DB">
        <w:t>, N</w:t>
      </w:r>
      <w:r w:rsidR="00FB45EA">
        <w:t>C</w:t>
      </w:r>
      <w:r w:rsidRPr="00A178DB">
        <w:t xml:space="preserve">: </w:t>
      </w:r>
      <w:r w:rsidR="00FB45EA">
        <w:t>Mayne</w:t>
      </w:r>
      <w:r w:rsidRPr="00A178DB">
        <w:t xml:space="preserve"> Pharma; November 2022.</w:t>
      </w:r>
    </w:p>
    <w:p w14:paraId="1381FF0B" w14:textId="76B3D9DF" w:rsidR="00874F21" w:rsidRPr="0027619E" w:rsidRDefault="00874F21" w:rsidP="00D42CB3">
      <w:pPr>
        <w:pStyle w:val="ReferenceOrdered"/>
        <w:keepNext w:val="0"/>
        <w:rPr>
          <w:lang w:val="sv-SE"/>
        </w:rPr>
      </w:pPr>
      <w:r w:rsidRPr="00A178DB">
        <w:t xml:space="preserve">Methylphenidate Osmotic Extended Release [package insert]. </w:t>
      </w:r>
      <w:r w:rsidRPr="0027619E">
        <w:rPr>
          <w:lang w:val="sv-SE"/>
        </w:rPr>
        <w:t xml:space="preserve">Alpharetta, GA: Trigen Laboratories, LLC; </w:t>
      </w:r>
      <w:r w:rsidR="00940D62">
        <w:rPr>
          <w:lang w:val="sv-SE"/>
        </w:rPr>
        <w:t>October</w:t>
      </w:r>
      <w:r w:rsidRPr="0027619E">
        <w:rPr>
          <w:lang w:val="sv-SE"/>
        </w:rPr>
        <w:t xml:space="preserve"> 202</w:t>
      </w:r>
      <w:r w:rsidR="00940D62">
        <w:rPr>
          <w:lang w:val="sv-SE"/>
        </w:rPr>
        <w:t>3</w:t>
      </w:r>
      <w:r w:rsidRPr="0027619E">
        <w:rPr>
          <w:lang w:val="sv-SE"/>
        </w:rPr>
        <w:t>.</w:t>
      </w:r>
    </w:p>
    <w:p w14:paraId="7D21F26E" w14:textId="77777777" w:rsidR="00874F21" w:rsidRPr="00A178DB" w:rsidRDefault="00874F21" w:rsidP="00D42CB3">
      <w:pPr>
        <w:pStyle w:val="ReferenceOrdered"/>
        <w:keepNext w:val="0"/>
      </w:pPr>
      <w:r w:rsidRPr="00A178DB">
        <w:t>Mydayis [package insert]. Lexington, MA: Takeda Pharmaceuticals America, Inc.; October 2023.</w:t>
      </w:r>
    </w:p>
    <w:p w14:paraId="1A5E50F6" w14:textId="77777777" w:rsidR="00874F21" w:rsidRPr="00A178DB" w:rsidRDefault="00874F21" w:rsidP="00D42CB3">
      <w:pPr>
        <w:pStyle w:val="ReferenceOrdered"/>
        <w:keepNext w:val="0"/>
        <w:rPr>
          <w:bCs/>
        </w:rPr>
      </w:pPr>
      <w:r w:rsidRPr="00A178DB">
        <w:t xml:space="preserve">ProCentra [package insert]. Newport, KY: </w:t>
      </w:r>
      <w:r w:rsidRPr="00A178DB">
        <w:rPr>
          <w:bCs/>
        </w:rPr>
        <w:t>Independence Pharmaceuticals, LLC; July 2023.</w:t>
      </w:r>
    </w:p>
    <w:p w14:paraId="2F54AF88" w14:textId="77777777" w:rsidR="00874F21" w:rsidRPr="00A178DB" w:rsidRDefault="00874F21" w:rsidP="00D42CB3">
      <w:pPr>
        <w:pStyle w:val="ReferenceOrdered"/>
        <w:keepNext w:val="0"/>
      </w:pPr>
      <w:r w:rsidRPr="00A178DB">
        <w:t>Qelbree [package insert]. Rockville, MD: Supernus Pharmaceuticals, Inc.; April 2022.</w:t>
      </w:r>
    </w:p>
    <w:p w14:paraId="5EDEB6CB" w14:textId="77777777" w:rsidR="00874F21" w:rsidRPr="00A178DB" w:rsidRDefault="00874F21" w:rsidP="00D42CB3">
      <w:pPr>
        <w:pStyle w:val="ReferenceOrdered"/>
        <w:keepNext w:val="0"/>
      </w:pPr>
      <w:r w:rsidRPr="00A178DB">
        <w:t>QuilliChew ER [package insert]. Monmouth Junction, NJ: NextWave Pharmaceuticals, Inc.; October 2023.</w:t>
      </w:r>
    </w:p>
    <w:p w14:paraId="3E7171DF" w14:textId="77777777" w:rsidR="000C3CEC" w:rsidRPr="00A178DB" w:rsidRDefault="00874F21" w:rsidP="00D42CB3">
      <w:pPr>
        <w:pStyle w:val="ReferenceOrdered"/>
        <w:keepNext w:val="0"/>
      </w:pPr>
      <w:r w:rsidRPr="00A178DB">
        <w:t>Quillivant XR [package insert]. Monmouth Junction, NJ: NextWave Pharmaceuticals, Inc.; October 2023.</w:t>
      </w:r>
    </w:p>
    <w:p w14:paraId="18F28790" w14:textId="3D2AB32A" w:rsidR="00874F21" w:rsidRPr="00A178DB" w:rsidRDefault="00874F21" w:rsidP="00D42CB3">
      <w:pPr>
        <w:pStyle w:val="ReferenceOrdered"/>
        <w:keepNext w:val="0"/>
      </w:pPr>
      <w:bookmarkStart w:id="13" w:name="_Hlk108448247"/>
      <w:r w:rsidRPr="00A178DB">
        <w:t xml:space="preserve">Relexxii [package insert]. Alpharetta, GA: Vertical Pharmaceuticals, LLC; </w:t>
      </w:r>
      <w:r w:rsidR="00940D62">
        <w:t>May</w:t>
      </w:r>
      <w:r w:rsidRPr="00A178DB">
        <w:t xml:space="preserve"> 202</w:t>
      </w:r>
      <w:r w:rsidR="00940D62">
        <w:t>4</w:t>
      </w:r>
      <w:r w:rsidRPr="00A178DB">
        <w:t>.</w:t>
      </w:r>
      <w:bookmarkEnd w:id="13"/>
    </w:p>
    <w:p w14:paraId="2B476B5E" w14:textId="77777777" w:rsidR="00874F21" w:rsidRPr="00A178DB" w:rsidRDefault="00874F21" w:rsidP="00D42CB3">
      <w:pPr>
        <w:pStyle w:val="ReferenceOrdered"/>
        <w:keepNext w:val="0"/>
      </w:pPr>
      <w:r w:rsidRPr="00A178DB">
        <w:t>Ritalin</w:t>
      </w:r>
      <w:r w:rsidRPr="00A178DB">
        <w:rPr>
          <w:vertAlign w:val="superscript"/>
        </w:rPr>
        <w:t xml:space="preserve"> </w:t>
      </w:r>
      <w:r w:rsidRPr="00A178DB">
        <w:t>[package insert]. East Hanover, NJ: Novartis Pharmaceuticals Corporation; October 2023.</w:t>
      </w:r>
    </w:p>
    <w:p w14:paraId="6DEEB6A2" w14:textId="77777777" w:rsidR="00874F21" w:rsidRPr="00A178DB" w:rsidRDefault="00874F21" w:rsidP="00D42CB3">
      <w:pPr>
        <w:pStyle w:val="ReferenceOrdered"/>
        <w:keepNext w:val="0"/>
      </w:pPr>
      <w:r w:rsidRPr="00A178DB">
        <w:t xml:space="preserve">Ritalin LA [package insert]. East Hanover, NJ: Novartis Pharmaceuticals Corporation; October 2023. </w:t>
      </w:r>
    </w:p>
    <w:p w14:paraId="79E15B9C" w14:textId="77777777" w:rsidR="00874F21" w:rsidRPr="00A178DB" w:rsidRDefault="00874F21" w:rsidP="00D42CB3">
      <w:pPr>
        <w:pStyle w:val="ReferenceOrdered"/>
        <w:keepNext w:val="0"/>
        <w:rPr>
          <w:bCs/>
        </w:rPr>
      </w:pPr>
      <w:r w:rsidRPr="00A178DB">
        <w:t xml:space="preserve">Strattera [package insert]. Indianapolis, IN: </w:t>
      </w:r>
      <w:r w:rsidRPr="00A178DB">
        <w:rPr>
          <w:bCs/>
        </w:rPr>
        <w:t>Lilly USA, LLC; January 2022.</w:t>
      </w:r>
    </w:p>
    <w:p w14:paraId="55846C20" w14:textId="77777777" w:rsidR="00874F21" w:rsidRPr="00A178DB" w:rsidRDefault="00874F21" w:rsidP="00D42CB3">
      <w:pPr>
        <w:pStyle w:val="ReferenceOrdered"/>
        <w:keepNext w:val="0"/>
      </w:pPr>
      <w:r w:rsidRPr="00A178DB">
        <w:t xml:space="preserve">Vyvanse [package insert]. Lexington, MA: </w:t>
      </w:r>
      <w:r w:rsidRPr="00A178DB">
        <w:rPr>
          <w:bCs/>
        </w:rPr>
        <w:t>Takeda Pharmaceuticals America, Inc.; October</w:t>
      </w:r>
      <w:r w:rsidRPr="00A178DB">
        <w:t xml:space="preserve"> 2023.</w:t>
      </w:r>
    </w:p>
    <w:p w14:paraId="34858F1D" w14:textId="77777777" w:rsidR="00DC7A9D" w:rsidRDefault="00874F21" w:rsidP="00D42CB3">
      <w:pPr>
        <w:pStyle w:val="ReferenceOrdered"/>
        <w:keepNext w:val="0"/>
      </w:pPr>
      <w:r w:rsidRPr="00A178DB">
        <w:t>Xelstrym [package insert]. Miami, FL: Noven Pharmaceuticals, Inc.; October 2023.</w:t>
      </w:r>
    </w:p>
    <w:p w14:paraId="7E2B2891" w14:textId="00C0BB25" w:rsidR="00DC7A9D" w:rsidRPr="00A178DB" w:rsidRDefault="00874F21" w:rsidP="00D42CB3">
      <w:pPr>
        <w:pStyle w:val="ReferenceOrdered"/>
        <w:keepNext w:val="0"/>
      </w:pPr>
      <w:r w:rsidRPr="00A178DB">
        <w:t xml:space="preserve">Zenzedi [package insert]. Atlanta, GA: Arbor Pharmaceuticals, LLC; </w:t>
      </w:r>
      <w:r w:rsidR="00E00B08">
        <w:t>October</w:t>
      </w:r>
      <w:r w:rsidRPr="00A178DB">
        <w:t xml:space="preserve"> 202</w:t>
      </w:r>
      <w:r w:rsidR="00E00B08">
        <w:t>3</w:t>
      </w:r>
      <w:r w:rsidRPr="00A178DB">
        <w:t>.</w:t>
      </w:r>
    </w:p>
    <w:p w14:paraId="78292AB9" w14:textId="28975027" w:rsidR="00874F21" w:rsidRPr="00A178DB" w:rsidRDefault="00874F21" w:rsidP="00D42CB3">
      <w:pPr>
        <w:pStyle w:val="ReferenceOrdered"/>
        <w:keepNext w:val="0"/>
        <w:rPr>
          <w:bCs/>
        </w:rPr>
      </w:pPr>
      <w:r w:rsidRPr="00A178DB">
        <w:t>Lexicomp Online, AHFS DI (Adult and Pediatric) Online. Waltham, MA: UpToDate, Inc.; 202</w:t>
      </w:r>
      <w:r w:rsidR="00E00B08">
        <w:t>4</w:t>
      </w:r>
      <w:r w:rsidRPr="00A178DB">
        <w:t xml:space="preserve">. https://online.lexi.com. Accessed </w:t>
      </w:r>
      <w:r w:rsidR="00E00B08">
        <w:t>Octo</w:t>
      </w:r>
      <w:r w:rsidRPr="00A178DB">
        <w:t xml:space="preserve">ber </w:t>
      </w:r>
      <w:r w:rsidR="00E00B08">
        <w:t>9</w:t>
      </w:r>
      <w:r w:rsidRPr="00A178DB">
        <w:t>, 202</w:t>
      </w:r>
      <w:r w:rsidR="00E00B08">
        <w:t>4</w:t>
      </w:r>
      <w:r w:rsidRPr="00A178DB">
        <w:t>.</w:t>
      </w:r>
    </w:p>
    <w:p w14:paraId="5E590453" w14:textId="5FDC35D7" w:rsidR="00874F21" w:rsidRPr="00A178DB" w:rsidRDefault="00874F21" w:rsidP="00D42CB3">
      <w:pPr>
        <w:pStyle w:val="ReferenceOrdered"/>
        <w:keepNext w:val="0"/>
        <w:rPr>
          <w:bCs/>
        </w:rPr>
      </w:pPr>
      <w:r w:rsidRPr="00A178DB">
        <w:t>Lexicomp Online, Lexi-Drugs Online. Waltham, MA: UpToDate, Inc.; 202</w:t>
      </w:r>
      <w:r w:rsidR="00E00B08">
        <w:t>4</w:t>
      </w:r>
      <w:r w:rsidRPr="00A178DB">
        <w:t xml:space="preserve">. https://online.lexi.com. Accessed </w:t>
      </w:r>
      <w:r w:rsidR="00E00B08">
        <w:t>Octo</w:t>
      </w:r>
      <w:r w:rsidRPr="00A178DB">
        <w:t xml:space="preserve">ber </w:t>
      </w:r>
      <w:r w:rsidR="00E00B08">
        <w:t>9</w:t>
      </w:r>
      <w:r w:rsidRPr="00A178DB">
        <w:t>, 202</w:t>
      </w:r>
      <w:r w:rsidR="00E00B08">
        <w:t>4</w:t>
      </w:r>
      <w:r w:rsidRPr="00A178DB">
        <w:t>.</w:t>
      </w:r>
    </w:p>
    <w:p w14:paraId="076ECA22" w14:textId="30C056C6" w:rsidR="00EC3796" w:rsidRPr="00A178DB" w:rsidRDefault="00874F21" w:rsidP="00D42CB3">
      <w:pPr>
        <w:pStyle w:val="ReferenceOrdered"/>
        <w:keepNext w:val="0"/>
      </w:pPr>
      <w:r w:rsidRPr="00A178DB">
        <w:t>Micromedex</w:t>
      </w:r>
      <w:r w:rsidR="00E00B08">
        <w:t>®</w:t>
      </w:r>
      <w:r w:rsidRPr="00A178DB">
        <w:t xml:space="preserve"> </w:t>
      </w:r>
      <w:r w:rsidRPr="00A178DB">
        <w:rPr>
          <w:color w:val="000000"/>
        </w:rPr>
        <w:t>(electronic version). Merative, Ann Arbor, Michigan, USA. Available at: https://www.micromedexsolutions.com/</w:t>
      </w:r>
      <w:r w:rsidRPr="00A178DB">
        <w:t xml:space="preserve"> (cited: </w:t>
      </w:r>
      <w:r w:rsidR="00E00B08">
        <w:t>1</w:t>
      </w:r>
      <w:r w:rsidRPr="00A178DB">
        <w:t>0/</w:t>
      </w:r>
      <w:r w:rsidR="0080731D">
        <w:t>0</w:t>
      </w:r>
      <w:r w:rsidR="00E00B08">
        <w:t>9</w:t>
      </w:r>
      <w:r w:rsidRPr="00A178DB">
        <w:t>/202</w:t>
      </w:r>
      <w:r w:rsidR="00E00B08">
        <w:t>4</w:t>
      </w:r>
      <w:r w:rsidRPr="00A178DB">
        <w:t>).</w:t>
      </w:r>
    </w:p>
    <w:bookmarkEnd w:id="10"/>
    <w:p w14:paraId="7E66700B" w14:textId="77777777" w:rsidR="00874F21" w:rsidRPr="00655550" w:rsidRDefault="00874F21" w:rsidP="00D42CB3">
      <w:pPr>
        <w:pStyle w:val="ReferenceOrdered"/>
        <w:keepNext w:val="0"/>
      </w:pPr>
      <w:r w:rsidRPr="00655550">
        <w:t xml:space="preserve">Pliszka S. </w:t>
      </w:r>
      <w:bookmarkStart w:id="14" w:name="OLE_LINK14"/>
      <w:bookmarkStart w:id="15" w:name="OLE_LINK10"/>
      <w:r w:rsidRPr="00655550">
        <w:t xml:space="preserve">Practice Parameter for the Assessment and Treatment of Children and Adolescents with </w:t>
      </w:r>
      <w:bookmarkEnd w:id="14"/>
      <w:r w:rsidRPr="00655550">
        <w:t xml:space="preserve">Attention-Deficit/Hyperactivity Disorder. </w:t>
      </w:r>
      <w:r w:rsidRPr="0014555F">
        <w:t>J Am Acad Child Adolesc Psychiatry</w:t>
      </w:r>
      <w:r w:rsidRPr="00655550">
        <w:t>. 2007;46(7):894-921.</w:t>
      </w:r>
      <w:bookmarkEnd w:id="15"/>
    </w:p>
    <w:p w14:paraId="0D3B2FB7" w14:textId="5DCDC38B" w:rsidR="00E3093F" w:rsidRPr="00655550" w:rsidRDefault="00874F21" w:rsidP="00D42CB3">
      <w:pPr>
        <w:pStyle w:val="ReferenceOrdered"/>
        <w:keepNext w:val="0"/>
      </w:pPr>
      <w:r w:rsidRPr="00655550">
        <w:t>American Psychiatric Association. Diagnostic and Statistical Manual of Mental Disorders. Fifth Edition Text Revision. Arlington, Virginia: American Psychiatric Association; 2022.</w:t>
      </w:r>
    </w:p>
    <w:p w14:paraId="018ADD9E" w14:textId="39D38EA0" w:rsidR="004026C0" w:rsidRPr="00655550" w:rsidRDefault="004026C0" w:rsidP="00D42CB3">
      <w:pPr>
        <w:pStyle w:val="ReferenceOrdered"/>
        <w:keepNext w:val="0"/>
      </w:pPr>
      <w:r w:rsidRPr="00655550">
        <w:rPr>
          <w:lang w:val="sv-SE"/>
        </w:rPr>
        <w:t xml:space="preserve">Wolraich ML, Hagan JF, Allan C, et al. </w:t>
      </w:r>
      <w:r w:rsidRPr="00655550">
        <w:t xml:space="preserve">AAP Subcommittee On Children And Adolescents With Attention-Deficit/Hyperactive Disorder. Clinical Practice Guideline for the Diagnosis, Evaluation, and Treatment of Attention-Deficit/Hyperactivity Disorder in Children and Adolescents. </w:t>
      </w:r>
      <w:r w:rsidRPr="0014555F">
        <w:t>Pediatrics</w:t>
      </w:r>
      <w:r w:rsidRPr="00655550">
        <w:t>. 2019;144(4):e20192528.</w:t>
      </w:r>
    </w:p>
    <w:p w14:paraId="4D8979B0" w14:textId="56777E71" w:rsidR="00874F21" w:rsidRPr="00655550" w:rsidRDefault="00874F21" w:rsidP="00D42CB3">
      <w:pPr>
        <w:pStyle w:val="ReferenceOrdered"/>
        <w:keepNext w:val="0"/>
      </w:pPr>
      <w:bookmarkStart w:id="16" w:name="OLE_LINK31"/>
      <w:r w:rsidRPr="00655550">
        <w:t xml:space="preserve">American Academy of Sleep Medicine. International Classification of Sleep Disorders, </w:t>
      </w:r>
      <w:r w:rsidR="00072643">
        <w:t>Third</w:t>
      </w:r>
      <w:r w:rsidRPr="00655550">
        <w:t xml:space="preserve"> </w:t>
      </w:r>
      <w:r w:rsidR="00072643">
        <w:t>E</w:t>
      </w:r>
      <w:r w:rsidRPr="00655550">
        <w:t>dition</w:t>
      </w:r>
      <w:r w:rsidR="00FC5BCB" w:rsidRPr="00655550">
        <w:t xml:space="preserve">, </w:t>
      </w:r>
      <w:r w:rsidR="00072643">
        <w:t>T</w:t>
      </w:r>
      <w:r w:rsidR="00FC5BCB" w:rsidRPr="00655550">
        <w:t xml:space="preserve">ext </w:t>
      </w:r>
      <w:r w:rsidR="00072643">
        <w:t>R</w:t>
      </w:r>
      <w:r w:rsidR="00FC5BCB" w:rsidRPr="00655550">
        <w:t>evision</w:t>
      </w:r>
      <w:r w:rsidRPr="00655550">
        <w:t>. American Academy of Sleep Medicine, 20</w:t>
      </w:r>
      <w:r w:rsidR="00FC5BCB" w:rsidRPr="00655550">
        <w:t>23</w:t>
      </w:r>
      <w:r w:rsidRPr="00655550">
        <w:t>.</w:t>
      </w:r>
    </w:p>
    <w:p w14:paraId="3891814B" w14:textId="0558C17F" w:rsidR="00156CEA" w:rsidRPr="00655550" w:rsidRDefault="00874F21" w:rsidP="00D42CB3">
      <w:pPr>
        <w:pStyle w:val="ReferenceOrdered"/>
        <w:keepNext w:val="0"/>
      </w:pPr>
      <w:r w:rsidRPr="00655550">
        <w:rPr>
          <w:lang w:val="sv-SE"/>
        </w:rPr>
        <w:t xml:space="preserve">Maski K, Trotti LM, Kotagal S, et al. </w:t>
      </w:r>
      <w:bookmarkStart w:id="17" w:name="OLE_LINK24"/>
      <w:r w:rsidRPr="00655550">
        <w:t xml:space="preserve">Treatment of central disorders of hypersomnolence: an American Academy of Sleep Medicine clinical practice guideline. </w:t>
      </w:r>
      <w:bookmarkEnd w:id="17"/>
      <w:r w:rsidRPr="0014555F">
        <w:t>J Clin Sleep Med.</w:t>
      </w:r>
      <w:r w:rsidRPr="00655550">
        <w:t xml:space="preserve"> 2021;17(9):1881-1893.</w:t>
      </w:r>
    </w:p>
    <w:bookmarkEnd w:id="16"/>
    <w:p w14:paraId="47E1A10C" w14:textId="45AB4753" w:rsidR="00C44990" w:rsidRPr="0014555F" w:rsidRDefault="00874F21" w:rsidP="0014555F">
      <w:pPr>
        <w:pStyle w:val="ReferenceOrdered"/>
      </w:pPr>
      <w:r w:rsidRPr="00655550">
        <w:t xml:space="preserve">National Comprehensive Cancer Network. NCCN Clinical Practice Guidelines in Oncology. Cancer-Related Fatigue. V.2.2024. Available at: </w:t>
      </w:r>
      <w:bookmarkStart w:id="18" w:name="OLE_LINK15"/>
      <w:r w:rsidRPr="00655550">
        <w:t>www.nccn</w:t>
      </w:r>
      <w:r w:rsidRPr="00156CEA">
        <w:rPr>
          <w:bCs/>
        </w:rPr>
        <w:t xml:space="preserve">.org. </w:t>
      </w:r>
      <w:bookmarkEnd w:id="18"/>
      <w:r w:rsidRPr="00156CEA">
        <w:rPr>
          <w:bCs/>
        </w:rPr>
        <w:t xml:space="preserve">Accessed </w:t>
      </w:r>
      <w:r w:rsidR="001C74D5" w:rsidRPr="00156CEA">
        <w:rPr>
          <w:bCs/>
        </w:rPr>
        <w:t>November</w:t>
      </w:r>
      <w:r w:rsidRPr="00655550">
        <w:t xml:space="preserve"> </w:t>
      </w:r>
      <w:r w:rsidR="001C74D5">
        <w:t>4</w:t>
      </w:r>
      <w:r w:rsidRPr="00655550">
        <w:t xml:space="preserve">, </w:t>
      </w:r>
      <w:r w:rsidRPr="00516331">
        <w:t>202</w:t>
      </w:r>
      <w:r w:rsidR="001C74D5" w:rsidRPr="00516331">
        <w:t>4</w:t>
      </w:r>
      <w:r w:rsidRPr="00516331">
        <w:rPr>
          <w:bCs/>
        </w:rPr>
        <w:t>.</w:t>
      </w:r>
    </w:p>
    <w:sectPr w:rsidR="00C44990" w:rsidRPr="0014555F" w:rsidSect="00210C04">
      <w:type w:val="continuous"/>
      <w:pgSz w:w="12240" w:h="15840" w:code="1"/>
      <w:pgMar w:top="907" w:right="720" w:bottom="994" w:left="720" w:header="720" w:footer="806" w:gutter="0"/>
      <w:paperSrc w:first="7" w:other="7"/>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2A78B" w14:textId="77777777" w:rsidR="00E97911" w:rsidRDefault="00E97911">
      <w:r>
        <w:separator/>
      </w:r>
    </w:p>
  </w:endnote>
  <w:endnote w:type="continuationSeparator" w:id="0">
    <w:p w14:paraId="78D9A256" w14:textId="77777777" w:rsidR="00E97911" w:rsidRDefault="00E97911">
      <w:r>
        <w:continuationSeparator/>
      </w:r>
    </w:p>
  </w:endnote>
  <w:endnote w:type="continuationNotice" w:id="1">
    <w:p w14:paraId="395E0867" w14:textId="77777777" w:rsidR="00E97911" w:rsidRDefault="00E97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0D779" w14:textId="028E58FE" w:rsidR="00746F5A" w:rsidRPr="00EC47B6" w:rsidRDefault="00746F5A" w:rsidP="00746F5A">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F3D84">
      <w:rPr>
        <w:rFonts w:cs="Arial"/>
        <w:noProof/>
        <w:snapToGrid w:val="0"/>
        <w:color w:val="000000"/>
        <w:sz w:val="16"/>
        <w:szCs w:val="16"/>
      </w:rPr>
      <w:t>ADHD Agents</w:t>
    </w:r>
    <w:r w:rsidR="006F3D84" w:rsidRPr="006F3D84">
      <w:rPr>
        <w:rFonts w:cs="Arial"/>
        <w:noProof/>
        <w:sz w:val="16"/>
        <w:szCs w:val="16"/>
      </w:rPr>
      <w:t xml:space="preserve"> Post</w:t>
    </w:r>
    <w:r w:rsidR="006F3D84">
      <w:rPr>
        <w:rFonts w:cs="Arial"/>
        <w:noProof/>
        <w:snapToGrid w:val="0"/>
        <w:color w:val="000000"/>
        <w:sz w:val="16"/>
        <w:szCs w:val="16"/>
      </w:rPr>
      <w:t xml:space="preserve"> Limit PA 1218-J, 683-J P12-2024 v2.docx</w:t>
    </w:r>
    <w:r w:rsidRPr="00EC47B6">
      <w:rPr>
        <w:rFonts w:cs="Arial"/>
        <w:noProof/>
        <w:sz w:val="16"/>
        <w:szCs w:val="16"/>
      </w:rPr>
      <w:fldChar w:fldCharType="end"/>
    </w:r>
    <w:r w:rsidRPr="00EC47B6">
      <w:rPr>
        <w:rFonts w:cs="Arial"/>
        <w:snapToGrid w:val="0"/>
        <w:color w:val="000000"/>
        <w:sz w:val="16"/>
      </w:rPr>
      <w:tab/>
      <w:t>© 202</w:t>
    </w:r>
    <w:r>
      <w:rPr>
        <w:rFonts w:cs="Arial"/>
        <w:snapToGrid w:val="0"/>
        <w:color w:val="000000"/>
        <w:sz w:val="16"/>
      </w:rPr>
      <w:t>5</w:t>
    </w:r>
    <w:r w:rsidRPr="00EC47B6">
      <w:rPr>
        <w:rFonts w:cs="Arial"/>
        <w:snapToGrid w:val="0"/>
        <w:color w:val="000000"/>
        <w:sz w:val="16"/>
      </w:rPr>
      <w:t xml:space="preserve"> CVS Caremark. All rights reserved.</w:t>
    </w:r>
  </w:p>
  <w:p w14:paraId="1D5707AA" w14:textId="14B4126C" w:rsidR="00746F5A" w:rsidRPr="00EC47B6" w:rsidRDefault="00746F5A" w:rsidP="00746F5A">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347125B7" w14:textId="793B9D9B" w:rsidR="0065634F" w:rsidRPr="00AA1E6A" w:rsidRDefault="00746F5A" w:rsidP="0014555F">
    <w:pPr>
      <w:tabs>
        <w:tab w:val="right" w:pos="10710"/>
      </w:tabs>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62DCC" w14:textId="7E38EEF6" w:rsidR="0065634F" w:rsidRPr="00EC47B6" w:rsidRDefault="0065634F"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F3D84" w:rsidRPr="006F3D84">
      <w:rPr>
        <w:rFonts w:cs="Arial"/>
        <w:noProof/>
        <w:sz w:val="16"/>
        <w:szCs w:val="16"/>
      </w:rPr>
      <w:t>ADHD</w:t>
    </w:r>
    <w:r w:rsidR="006F3D84">
      <w:rPr>
        <w:rFonts w:cs="Arial"/>
        <w:noProof/>
        <w:snapToGrid w:val="0"/>
        <w:color w:val="000000"/>
        <w:sz w:val="16"/>
        <w:szCs w:val="16"/>
      </w:rPr>
      <w:t xml:space="preserve"> Agents Post</w:t>
    </w:r>
    <w:r w:rsidR="006F3D84" w:rsidRPr="006F3D84">
      <w:rPr>
        <w:rFonts w:cs="Arial"/>
        <w:noProof/>
        <w:sz w:val="16"/>
        <w:szCs w:val="16"/>
      </w:rPr>
      <w:t xml:space="preserve"> Limit</w:t>
    </w:r>
    <w:r w:rsidR="006F3D84">
      <w:rPr>
        <w:rFonts w:cs="Arial"/>
        <w:noProof/>
        <w:snapToGrid w:val="0"/>
        <w:color w:val="000000"/>
        <w:sz w:val="16"/>
        <w:szCs w:val="16"/>
      </w:rPr>
      <w:t xml:space="preserve"> PA 1218-J, 683-J P12-2024 v2.docx</w:t>
    </w:r>
    <w:r w:rsidRPr="00EC47B6">
      <w:rPr>
        <w:rFonts w:cs="Arial"/>
        <w:noProof/>
        <w:sz w:val="16"/>
        <w:szCs w:val="16"/>
      </w:rPr>
      <w:fldChar w:fldCharType="end"/>
    </w:r>
    <w:r w:rsidRPr="00EC47B6">
      <w:rPr>
        <w:rFonts w:cs="Arial"/>
        <w:snapToGrid w:val="0"/>
        <w:color w:val="000000"/>
        <w:sz w:val="16"/>
      </w:rPr>
      <w:tab/>
      <w:t>© 202</w:t>
    </w:r>
    <w:r w:rsidR="00AA44C4">
      <w:rPr>
        <w:rFonts w:cs="Arial"/>
        <w:snapToGrid w:val="0"/>
        <w:color w:val="000000"/>
        <w:sz w:val="16"/>
      </w:rPr>
      <w:t>5</w:t>
    </w:r>
    <w:r w:rsidRPr="00EC47B6">
      <w:rPr>
        <w:rFonts w:cs="Arial"/>
        <w:snapToGrid w:val="0"/>
        <w:color w:val="000000"/>
        <w:sz w:val="16"/>
      </w:rPr>
      <w:t xml:space="preserve"> CVS Caremark. All rights reserved.</w:t>
    </w:r>
  </w:p>
  <w:p w14:paraId="3C17BD02" w14:textId="2328D7BF" w:rsidR="0065634F" w:rsidRPr="00EC47B6" w:rsidRDefault="0065634F"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180ABE42" w14:textId="2C3AF5F2" w:rsidR="0065634F" w:rsidRPr="00F50D98" w:rsidRDefault="0065634F" w:rsidP="0014555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5DEE8" w14:textId="77777777" w:rsidR="00E97911" w:rsidRDefault="00E97911">
      <w:r>
        <w:separator/>
      </w:r>
    </w:p>
  </w:footnote>
  <w:footnote w:type="continuationSeparator" w:id="0">
    <w:p w14:paraId="7DCE894E" w14:textId="77777777" w:rsidR="00E97911" w:rsidRDefault="00E97911">
      <w:r>
        <w:continuationSeparator/>
      </w:r>
    </w:p>
  </w:footnote>
  <w:footnote w:type="continuationNotice" w:id="1">
    <w:p w14:paraId="16E3FCBE" w14:textId="77777777" w:rsidR="00E97911" w:rsidRDefault="00E97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5634F" w:rsidRPr="00ED04EC" w14:paraId="6821FA8F" w14:textId="77777777" w:rsidTr="00BE292A">
      <w:trPr>
        <w:trHeight w:val="144"/>
        <w:jc w:val="right"/>
      </w:trPr>
      <w:tc>
        <w:tcPr>
          <w:tcW w:w="1854" w:type="dxa"/>
          <w:hideMark/>
        </w:tcPr>
        <w:p w14:paraId="11F7BD33" w14:textId="77777777" w:rsidR="0065634F" w:rsidRPr="00AA1E6A" w:rsidRDefault="0065634F" w:rsidP="00ED04EC">
          <w:pPr>
            <w:pStyle w:val="Header"/>
            <w:rPr>
              <w:rFonts w:ascii="Arial" w:hAnsi="Arial" w:cs="Arial"/>
              <w:sz w:val="16"/>
              <w:szCs w:val="16"/>
            </w:rPr>
          </w:pPr>
          <w:r w:rsidRPr="00AA1E6A">
            <w:rPr>
              <w:rFonts w:ascii="Arial" w:hAnsi="Arial" w:cs="Arial"/>
              <w:sz w:val="16"/>
              <w:szCs w:val="16"/>
            </w:rPr>
            <w:t>Reference number(s)</w:t>
          </w:r>
        </w:p>
      </w:tc>
    </w:tr>
    <w:tr w:rsidR="003C5A30" w:rsidRPr="00FF66BF" w14:paraId="7234A114" w14:textId="77777777" w:rsidTr="003C5A30">
      <w:tblPrEx>
        <w:jc w:val="left"/>
        <w:tblLook w:val="04A0" w:firstRow="1" w:lastRow="0" w:firstColumn="1" w:lastColumn="0" w:noHBand="0" w:noVBand="1"/>
      </w:tblPrEx>
      <w:trPr>
        <w:trHeight w:val="378"/>
      </w:trPr>
      <w:tc>
        <w:tcPr>
          <w:tcW w:w="1854" w:type="dxa"/>
          <w:hideMark/>
        </w:tcPr>
        <w:p w14:paraId="480490D2" w14:textId="2FA01FC1" w:rsidR="003C5A30" w:rsidRPr="00FF66BF" w:rsidRDefault="003C5A30" w:rsidP="003C5A30">
          <w:pPr>
            <w:pStyle w:val="RefTableHeader"/>
          </w:pPr>
          <w:r>
            <w:t xml:space="preserve">1218-J, </w:t>
          </w:r>
          <w:r w:rsidR="00AA44C4">
            <w:t xml:space="preserve"> </w:t>
          </w:r>
          <w:r>
            <w:t>683-J</w:t>
          </w:r>
        </w:p>
      </w:tc>
    </w:tr>
  </w:tbl>
  <w:p w14:paraId="33D01742" w14:textId="42B77C78" w:rsidR="0065634F" w:rsidRPr="00AA1E6A" w:rsidRDefault="0065634F" w:rsidP="00B02279">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323D9B"/>
    <w:multiLevelType w:val="hybridMultilevel"/>
    <w:tmpl w:val="31480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D25613"/>
    <w:multiLevelType w:val="singleLevel"/>
    <w:tmpl w:val="043494B6"/>
    <w:lvl w:ilvl="0">
      <w:start w:val="1"/>
      <w:numFmt w:val="decimal"/>
      <w:lvlText w:val="%1. "/>
      <w:legacy w:legacy="1" w:legacySpace="0" w:legacyIndent="360"/>
      <w:lvlJc w:val="left"/>
      <w:pPr>
        <w:ind w:left="360" w:hanging="360"/>
      </w:pPr>
      <w:rPr>
        <w:rFonts w:ascii="CVS Health Sans" w:hAnsi="CVS Health Sans" w:hint="default"/>
        <w:b w:val="0"/>
        <w:i w:val="0"/>
        <w:sz w:val="22"/>
        <w:szCs w:val="22"/>
      </w:rPr>
    </w:lvl>
  </w:abstractNum>
  <w:abstractNum w:abstractNumId="12"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8F034B5"/>
    <w:multiLevelType w:val="hybridMultilevel"/>
    <w:tmpl w:val="60F28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FE35F00"/>
    <w:multiLevelType w:val="hybridMultilevel"/>
    <w:tmpl w:val="016C03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DC0FA6"/>
    <w:multiLevelType w:val="hybridMultilevel"/>
    <w:tmpl w:val="F51CE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A4C04"/>
    <w:multiLevelType w:val="hybridMultilevel"/>
    <w:tmpl w:val="F3D4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A673B"/>
    <w:multiLevelType w:val="hybridMultilevel"/>
    <w:tmpl w:val="40FA4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D4419E"/>
    <w:multiLevelType w:val="hybridMultilevel"/>
    <w:tmpl w:val="71E033C2"/>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0853FED"/>
    <w:multiLevelType w:val="hybridMultilevel"/>
    <w:tmpl w:val="4AFAC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1F36BD"/>
    <w:multiLevelType w:val="hybridMultilevel"/>
    <w:tmpl w:val="493E6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0073E6"/>
    <w:multiLevelType w:val="hybridMultilevel"/>
    <w:tmpl w:val="6980D68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606A53"/>
    <w:multiLevelType w:val="hybridMultilevel"/>
    <w:tmpl w:val="84AE9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9E3390"/>
    <w:multiLevelType w:val="hybridMultilevel"/>
    <w:tmpl w:val="9D7E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326B1"/>
    <w:multiLevelType w:val="hybridMultilevel"/>
    <w:tmpl w:val="BB8A28D0"/>
    <w:lvl w:ilvl="0" w:tplc="35FA3210">
      <w:start w:val="1"/>
      <w:numFmt w:val="decimal"/>
      <w:pStyle w:val="ReferenceOrdered"/>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FA245E"/>
    <w:multiLevelType w:val="hybridMultilevel"/>
    <w:tmpl w:val="AA785B7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757A93"/>
    <w:multiLevelType w:val="hybridMultilevel"/>
    <w:tmpl w:val="4270570C"/>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0C913F1"/>
    <w:multiLevelType w:val="hybridMultilevel"/>
    <w:tmpl w:val="9388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73215A"/>
    <w:multiLevelType w:val="hybridMultilevel"/>
    <w:tmpl w:val="7B141954"/>
    <w:lvl w:ilvl="0" w:tplc="04090001">
      <w:start w:val="1"/>
      <w:numFmt w:val="bullet"/>
      <w:lvlText w:val=""/>
      <w:lvlJc w:val="left"/>
      <w:pPr>
        <w:ind w:left="720" w:hanging="360"/>
      </w:pPr>
      <w:rPr>
        <w:rFonts w:ascii="Symbol" w:hAnsi="Symbol"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921869">
    <w:abstractNumId w:val="13"/>
  </w:num>
  <w:num w:numId="2" w16cid:durableId="606935877">
    <w:abstractNumId w:val="34"/>
  </w:num>
  <w:num w:numId="3" w16cid:durableId="611589570">
    <w:abstractNumId w:val="26"/>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2"/>
  </w:num>
  <w:num w:numId="16" w16cid:durableId="898320195">
    <w:abstractNumId w:val="20"/>
  </w:num>
  <w:num w:numId="17" w16cid:durableId="2128498676">
    <w:abstractNumId w:val="39"/>
  </w:num>
  <w:num w:numId="18" w16cid:durableId="299724409">
    <w:abstractNumId w:val="31"/>
  </w:num>
  <w:num w:numId="19" w16cid:durableId="214585573">
    <w:abstractNumId w:val="15"/>
  </w:num>
  <w:num w:numId="20" w16cid:durableId="1289816170">
    <w:abstractNumId w:val="16"/>
  </w:num>
  <w:num w:numId="21" w16cid:durableId="1066490929">
    <w:abstractNumId w:val="40"/>
  </w:num>
  <w:num w:numId="22" w16cid:durableId="1472481103">
    <w:abstractNumId w:val="33"/>
  </w:num>
  <w:num w:numId="23" w16cid:durableId="1997420403">
    <w:abstractNumId w:val="36"/>
  </w:num>
  <w:num w:numId="24" w16cid:durableId="33312838">
    <w:abstractNumId w:val="32"/>
  </w:num>
  <w:num w:numId="25" w16cid:durableId="507404939">
    <w:abstractNumId w:val="19"/>
  </w:num>
  <w:num w:numId="26" w16cid:durableId="443111334">
    <w:abstractNumId w:val="21"/>
  </w:num>
  <w:num w:numId="27" w16cid:durableId="1589849378">
    <w:abstractNumId w:val="18"/>
  </w:num>
  <w:num w:numId="28" w16cid:durableId="1711342249">
    <w:abstractNumId w:val="41"/>
  </w:num>
  <w:num w:numId="29" w16cid:durableId="1701055200">
    <w:abstractNumId w:val="17"/>
  </w:num>
  <w:num w:numId="30" w16cid:durableId="1367216904">
    <w:abstractNumId w:val="29"/>
  </w:num>
  <w:num w:numId="31" w16cid:durableId="2018730095">
    <w:abstractNumId w:val="25"/>
  </w:num>
  <w:num w:numId="32" w16cid:durableId="1234001390">
    <w:abstractNumId w:val="28"/>
  </w:num>
  <w:num w:numId="33" w16cid:durableId="1472290970">
    <w:abstractNumId w:val="11"/>
  </w:num>
  <w:num w:numId="34" w16cid:durableId="587928895">
    <w:abstractNumId w:val="24"/>
  </w:num>
  <w:num w:numId="35" w16cid:durableId="1076052458">
    <w:abstractNumId w:val="40"/>
  </w:num>
  <w:num w:numId="36" w16cid:durableId="1016737635">
    <w:abstractNumId w:val="40"/>
  </w:num>
  <w:num w:numId="37" w16cid:durableId="1720199653">
    <w:abstractNumId w:val="35"/>
  </w:num>
  <w:num w:numId="38" w16cid:durableId="1547714345">
    <w:abstractNumId w:val="40"/>
  </w:num>
  <w:num w:numId="39" w16cid:durableId="942540475">
    <w:abstractNumId w:val="37"/>
  </w:num>
  <w:num w:numId="40" w16cid:durableId="585303906">
    <w:abstractNumId w:val="40"/>
  </w:num>
  <w:num w:numId="41" w16cid:durableId="637146745">
    <w:abstractNumId w:val="23"/>
  </w:num>
  <w:num w:numId="42" w16cid:durableId="1482038343">
    <w:abstractNumId w:val="10"/>
  </w:num>
  <w:num w:numId="43" w16cid:durableId="261956457">
    <w:abstractNumId w:val="22"/>
  </w:num>
  <w:num w:numId="44" w16cid:durableId="1189030646">
    <w:abstractNumId w:val="27"/>
  </w:num>
  <w:num w:numId="45" w16cid:durableId="1304652425">
    <w:abstractNumId w:val="30"/>
  </w:num>
  <w:num w:numId="46" w16cid:durableId="1364868239">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04C"/>
    <w:rsid w:val="00003A88"/>
    <w:rsid w:val="000040CA"/>
    <w:rsid w:val="00004110"/>
    <w:rsid w:val="00004F02"/>
    <w:rsid w:val="00004F4E"/>
    <w:rsid w:val="00005BB0"/>
    <w:rsid w:val="00005C28"/>
    <w:rsid w:val="00006174"/>
    <w:rsid w:val="00006AC2"/>
    <w:rsid w:val="00006E19"/>
    <w:rsid w:val="00007844"/>
    <w:rsid w:val="00007A56"/>
    <w:rsid w:val="000100A6"/>
    <w:rsid w:val="000106D6"/>
    <w:rsid w:val="00010A20"/>
    <w:rsid w:val="00010FE0"/>
    <w:rsid w:val="00011D89"/>
    <w:rsid w:val="00011ED0"/>
    <w:rsid w:val="00012717"/>
    <w:rsid w:val="00012727"/>
    <w:rsid w:val="00012BCD"/>
    <w:rsid w:val="00013653"/>
    <w:rsid w:val="000141E7"/>
    <w:rsid w:val="000148F0"/>
    <w:rsid w:val="00014F64"/>
    <w:rsid w:val="00016A2E"/>
    <w:rsid w:val="00016F6F"/>
    <w:rsid w:val="00017860"/>
    <w:rsid w:val="00017EE8"/>
    <w:rsid w:val="00017F93"/>
    <w:rsid w:val="000200D2"/>
    <w:rsid w:val="000203D2"/>
    <w:rsid w:val="00020951"/>
    <w:rsid w:val="00020F76"/>
    <w:rsid w:val="0002111C"/>
    <w:rsid w:val="00021A0A"/>
    <w:rsid w:val="00021C51"/>
    <w:rsid w:val="00021F62"/>
    <w:rsid w:val="00022D21"/>
    <w:rsid w:val="0002338D"/>
    <w:rsid w:val="00024BB4"/>
    <w:rsid w:val="000255D0"/>
    <w:rsid w:val="0002595C"/>
    <w:rsid w:val="00025EAA"/>
    <w:rsid w:val="00026803"/>
    <w:rsid w:val="000273F0"/>
    <w:rsid w:val="00030714"/>
    <w:rsid w:val="00030C13"/>
    <w:rsid w:val="00030CF7"/>
    <w:rsid w:val="000311EC"/>
    <w:rsid w:val="000315F1"/>
    <w:rsid w:val="000318EA"/>
    <w:rsid w:val="0003203C"/>
    <w:rsid w:val="00032275"/>
    <w:rsid w:val="00032659"/>
    <w:rsid w:val="00032924"/>
    <w:rsid w:val="000331E9"/>
    <w:rsid w:val="00036079"/>
    <w:rsid w:val="00037636"/>
    <w:rsid w:val="00037A95"/>
    <w:rsid w:val="000425B0"/>
    <w:rsid w:val="00043056"/>
    <w:rsid w:val="0004480D"/>
    <w:rsid w:val="000455E2"/>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73A"/>
    <w:rsid w:val="00055897"/>
    <w:rsid w:val="000561B5"/>
    <w:rsid w:val="000564BC"/>
    <w:rsid w:val="0005730B"/>
    <w:rsid w:val="00057358"/>
    <w:rsid w:val="00057C68"/>
    <w:rsid w:val="00057CD8"/>
    <w:rsid w:val="00060959"/>
    <w:rsid w:val="000609B8"/>
    <w:rsid w:val="00062816"/>
    <w:rsid w:val="000639BC"/>
    <w:rsid w:val="00064347"/>
    <w:rsid w:val="00064396"/>
    <w:rsid w:val="00065AC6"/>
    <w:rsid w:val="000667F6"/>
    <w:rsid w:val="00066D4B"/>
    <w:rsid w:val="0006765E"/>
    <w:rsid w:val="00067732"/>
    <w:rsid w:val="0006774C"/>
    <w:rsid w:val="00070758"/>
    <w:rsid w:val="00070786"/>
    <w:rsid w:val="00070C48"/>
    <w:rsid w:val="000717F6"/>
    <w:rsid w:val="00071A7F"/>
    <w:rsid w:val="00071E6A"/>
    <w:rsid w:val="00072643"/>
    <w:rsid w:val="0007270C"/>
    <w:rsid w:val="0007286F"/>
    <w:rsid w:val="000749E4"/>
    <w:rsid w:val="00074BFE"/>
    <w:rsid w:val="00075C18"/>
    <w:rsid w:val="000760A2"/>
    <w:rsid w:val="000760F2"/>
    <w:rsid w:val="00076B1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A9F"/>
    <w:rsid w:val="00090C1B"/>
    <w:rsid w:val="000913DE"/>
    <w:rsid w:val="00091E1D"/>
    <w:rsid w:val="00093AB5"/>
    <w:rsid w:val="00094A59"/>
    <w:rsid w:val="00095B9C"/>
    <w:rsid w:val="0009781E"/>
    <w:rsid w:val="000A0CCE"/>
    <w:rsid w:val="000A1653"/>
    <w:rsid w:val="000A1ACD"/>
    <w:rsid w:val="000A2697"/>
    <w:rsid w:val="000A34B0"/>
    <w:rsid w:val="000A3543"/>
    <w:rsid w:val="000A3968"/>
    <w:rsid w:val="000A42D7"/>
    <w:rsid w:val="000A4582"/>
    <w:rsid w:val="000A51AE"/>
    <w:rsid w:val="000A5AE5"/>
    <w:rsid w:val="000A6C43"/>
    <w:rsid w:val="000A71EC"/>
    <w:rsid w:val="000A7D51"/>
    <w:rsid w:val="000B0F9D"/>
    <w:rsid w:val="000B104D"/>
    <w:rsid w:val="000B1961"/>
    <w:rsid w:val="000B20CD"/>
    <w:rsid w:val="000B2F18"/>
    <w:rsid w:val="000B40A1"/>
    <w:rsid w:val="000B57DC"/>
    <w:rsid w:val="000B5871"/>
    <w:rsid w:val="000B5E31"/>
    <w:rsid w:val="000B6086"/>
    <w:rsid w:val="000B61D7"/>
    <w:rsid w:val="000B662F"/>
    <w:rsid w:val="000B7167"/>
    <w:rsid w:val="000B71C5"/>
    <w:rsid w:val="000B7827"/>
    <w:rsid w:val="000B7CFC"/>
    <w:rsid w:val="000C1120"/>
    <w:rsid w:val="000C1550"/>
    <w:rsid w:val="000C2343"/>
    <w:rsid w:val="000C3B5A"/>
    <w:rsid w:val="000C3CEC"/>
    <w:rsid w:val="000C5A6F"/>
    <w:rsid w:val="000C6257"/>
    <w:rsid w:val="000C625F"/>
    <w:rsid w:val="000C652A"/>
    <w:rsid w:val="000C6C34"/>
    <w:rsid w:val="000C6FAA"/>
    <w:rsid w:val="000C7000"/>
    <w:rsid w:val="000C78EA"/>
    <w:rsid w:val="000C7B51"/>
    <w:rsid w:val="000C7EA2"/>
    <w:rsid w:val="000D0438"/>
    <w:rsid w:val="000D04AF"/>
    <w:rsid w:val="000D0B0C"/>
    <w:rsid w:val="000D1463"/>
    <w:rsid w:val="000D19C4"/>
    <w:rsid w:val="000D1D17"/>
    <w:rsid w:val="000D2496"/>
    <w:rsid w:val="000D24FD"/>
    <w:rsid w:val="000D31D7"/>
    <w:rsid w:val="000D39D5"/>
    <w:rsid w:val="000D3D87"/>
    <w:rsid w:val="000D44C7"/>
    <w:rsid w:val="000D454D"/>
    <w:rsid w:val="000D456B"/>
    <w:rsid w:val="000D4EA4"/>
    <w:rsid w:val="000D5101"/>
    <w:rsid w:val="000D5978"/>
    <w:rsid w:val="000D5D4B"/>
    <w:rsid w:val="000E095D"/>
    <w:rsid w:val="000E0C62"/>
    <w:rsid w:val="000E24FA"/>
    <w:rsid w:val="000E2ECC"/>
    <w:rsid w:val="000E37E4"/>
    <w:rsid w:val="000E3A1B"/>
    <w:rsid w:val="000E3DD4"/>
    <w:rsid w:val="000E4198"/>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0F7EF1"/>
    <w:rsid w:val="001012A6"/>
    <w:rsid w:val="00101748"/>
    <w:rsid w:val="0010193F"/>
    <w:rsid w:val="00101C90"/>
    <w:rsid w:val="00101D40"/>
    <w:rsid w:val="0010327C"/>
    <w:rsid w:val="00103E4B"/>
    <w:rsid w:val="00103E71"/>
    <w:rsid w:val="00104849"/>
    <w:rsid w:val="00104C21"/>
    <w:rsid w:val="0010527A"/>
    <w:rsid w:val="001054B4"/>
    <w:rsid w:val="00105956"/>
    <w:rsid w:val="00107394"/>
    <w:rsid w:val="001074E7"/>
    <w:rsid w:val="001075C1"/>
    <w:rsid w:val="00107B1D"/>
    <w:rsid w:val="00110AF8"/>
    <w:rsid w:val="00110DE3"/>
    <w:rsid w:val="00110F57"/>
    <w:rsid w:val="00111842"/>
    <w:rsid w:val="001120B7"/>
    <w:rsid w:val="0011411C"/>
    <w:rsid w:val="001152DC"/>
    <w:rsid w:val="00115519"/>
    <w:rsid w:val="001155D7"/>
    <w:rsid w:val="001156BC"/>
    <w:rsid w:val="001159B3"/>
    <w:rsid w:val="0011622E"/>
    <w:rsid w:val="00116650"/>
    <w:rsid w:val="00117495"/>
    <w:rsid w:val="0011772F"/>
    <w:rsid w:val="001202DD"/>
    <w:rsid w:val="00120ACB"/>
    <w:rsid w:val="00121BD0"/>
    <w:rsid w:val="00121F7F"/>
    <w:rsid w:val="00122472"/>
    <w:rsid w:val="001244EB"/>
    <w:rsid w:val="00125550"/>
    <w:rsid w:val="00127150"/>
    <w:rsid w:val="001273F7"/>
    <w:rsid w:val="00127475"/>
    <w:rsid w:val="00127546"/>
    <w:rsid w:val="0012768E"/>
    <w:rsid w:val="00127BF2"/>
    <w:rsid w:val="00130436"/>
    <w:rsid w:val="00130F05"/>
    <w:rsid w:val="00130FD7"/>
    <w:rsid w:val="00131659"/>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55F"/>
    <w:rsid w:val="00145A96"/>
    <w:rsid w:val="00146C1A"/>
    <w:rsid w:val="00150AFC"/>
    <w:rsid w:val="00151DA8"/>
    <w:rsid w:val="00152135"/>
    <w:rsid w:val="00153164"/>
    <w:rsid w:val="00154B0F"/>
    <w:rsid w:val="00154E30"/>
    <w:rsid w:val="00155A51"/>
    <w:rsid w:val="001560C4"/>
    <w:rsid w:val="00156A50"/>
    <w:rsid w:val="00156B77"/>
    <w:rsid w:val="00156CEA"/>
    <w:rsid w:val="00156E31"/>
    <w:rsid w:val="00160472"/>
    <w:rsid w:val="00162951"/>
    <w:rsid w:val="001630B4"/>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BB0"/>
    <w:rsid w:val="00182BBD"/>
    <w:rsid w:val="00182C96"/>
    <w:rsid w:val="001837BD"/>
    <w:rsid w:val="00184394"/>
    <w:rsid w:val="0018562F"/>
    <w:rsid w:val="0018575D"/>
    <w:rsid w:val="0018586D"/>
    <w:rsid w:val="001858C6"/>
    <w:rsid w:val="00185A9C"/>
    <w:rsid w:val="00185C58"/>
    <w:rsid w:val="00186758"/>
    <w:rsid w:val="00187BCC"/>
    <w:rsid w:val="00190200"/>
    <w:rsid w:val="00190AC8"/>
    <w:rsid w:val="001914C8"/>
    <w:rsid w:val="001916D1"/>
    <w:rsid w:val="00191904"/>
    <w:rsid w:val="00192769"/>
    <w:rsid w:val="001933EE"/>
    <w:rsid w:val="00193696"/>
    <w:rsid w:val="001944B7"/>
    <w:rsid w:val="0019677F"/>
    <w:rsid w:val="0019733B"/>
    <w:rsid w:val="00197623"/>
    <w:rsid w:val="00197771"/>
    <w:rsid w:val="001A0E7C"/>
    <w:rsid w:val="001A2781"/>
    <w:rsid w:val="001A2987"/>
    <w:rsid w:val="001A320A"/>
    <w:rsid w:val="001A33ED"/>
    <w:rsid w:val="001A432C"/>
    <w:rsid w:val="001A4C1C"/>
    <w:rsid w:val="001A4DBB"/>
    <w:rsid w:val="001A576D"/>
    <w:rsid w:val="001A57C5"/>
    <w:rsid w:val="001A6053"/>
    <w:rsid w:val="001A7761"/>
    <w:rsid w:val="001B08AB"/>
    <w:rsid w:val="001B1A97"/>
    <w:rsid w:val="001B1DCF"/>
    <w:rsid w:val="001B459A"/>
    <w:rsid w:val="001B4C8F"/>
    <w:rsid w:val="001B5232"/>
    <w:rsid w:val="001B6FFC"/>
    <w:rsid w:val="001B72C7"/>
    <w:rsid w:val="001C0B8C"/>
    <w:rsid w:val="001C1C00"/>
    <w:rsid w:val="001C1C5D"/>
    <w:rsid w:val="001C2409"/>
    <w:rsid w:val="001C4413"/>
    <w:rsid w:val="001C498D"/>
    <w:rsid w:val="001C4AFD"/>
    <w:rsid w:val="001C50A0"/>
    <w:rsid w:val="001C5167"/>
    <w:rsid w:val="001C55A0"/>
    <w:rsid w:val="001C5FD5"/>
    <w:rsid w:val="001C6072"/>
    <w:rsid w:val="001C6E21"/>
    <w:rsid w:val="001C7176"/>
    <w:rsid w:val="001C74D5"/>
    <w:rsid w:val="001C7A14"/>
    <w:rsid w:val="001D003B"/>
    <w:rsid w:val="001D009C"/>
    <w:rsid w:val="001D0E3C"/>
    <w:rsid w:val="001D164A"/>
    <w:rsid w:val="001D1698"/>
    <w:rsid w:val="001D202E"/>
    <w:rsid w:val="001D2253"/>
    <w:rsid w:val="001D2E27"/>
    <w:rsid w:val="001D3206"/>
    <w:rsid w:val="001D36C8"/>
    <w:rsid w:val="001D4343"/>
    <w:rsid w:val="001D536B"/>
    <w:rsid w:val="001D56F3"/>
    <w:rsid w:val="001D595E"/>
    <w:rsid w:val="001D5AA2"/>
    <w:rsid w:val="001D694B"/>
    <w:rsid w:val="001E08E7"/>
    <w:rsid w:val="001E0C4C"/>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361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0C04"/>
    <w:rsid w:val="00211DE1"/>
    <w:rsid w:val="00212062"/>
    <w:rsid w:val="002123DA"/>
    <w:rsid w:val="00213310"/>
    <w:rsid w:val="002134FD"/>
    <w:rsid w:val="002140F4"/>
    <w:rsid w:val="0021437E"/>
    <w:rsid w:val="0021440B"/>
    <w:rsid w:val="0021446F"/>
    <w:rsid w:val="00215A86"/>
    <w:rsid w:val="00215B40"/>
    <w:rsid w:val="002173D5"/>
    <w:rsid w:val="0022007C"/>
    <w:rsid w:val="00220659"/>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0698"/>
    <w:rsid w:val="002307B5"/>
    <w:rsid w:val="00230E33"/>
    <w:rsid w:val="002326EC"/>
    <w:rsid w:val="00232BF5"/>
    <w:rsid w:val="0023373F"/>
    <w:rsid w:val="00233762"/>
    <w:rsid w:val="002338A0"/>
    <w:rsid w:val="00233FF2"/>
    <w:rsid w:val="002341EB"/>
    <w:rsid w:val="002344F5"/>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3D4E"/>
    <w:rsid w:val="00244398"/>
    <w:rsid w:val="00244442"/>
    <w:rsid w:val="0024498F"/>
    <w:rsid w:val="002504F9"/>
    <w:rsid w:val="00250C39"/>
    <w:rsid w:val="00250E25"/>
    <w:rsid w:val="002512D1"/>
    <w:rsid w:val="00251EE2"/>
    <w:rsid w:val="00252CE1"/>
    <w:rsid w:val="0025338B"/>
    <w:rsid w:val="0025395A"/>
    <w:rsid w:val="00254313"/>
    <w:rsid w:val="00254CF2"/>
    <w:rsid w:val="0025520A"/>
    <w:rsid w:val="002556AB"/>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6509"/>
    <w:rsid w:val="0026796B"/>
    <w:rsid w:val="00267A90"/>
    <w:rsid w:val="002708AE"/>
    <w:rsid w:val="00271357"/>
    <w:rsid w:val="00272160"/>
    <w:rsid w:val="00272D78"/>
    <w:rsid w:val="00273E66"/>
    <w:rsid w:val="00273FEB"/>
    <w:rsid w:val="002746C6"/>
    <w:rsid w:val="002754FA"/>
    <w:rsid w:val="00276114"/>
    <w:rsid w:val="0027619E"/>
    <w:rsid w:val="0027637A"/>
    <w:rsid w:val="002763A4"/>
    <w:rsid w:val="002765AF"/>
    <w:rsid w:val="00276AF9"/>
    <w:rsid w:val="00277212"/>
    <w:rsid w:val="002773DB"/>
    <w:rsid w:val="00277791"/>
    <w:rsid w:val="002777DF"/>
    <w:rsid w:val="002807CC"/>
    <w:rsid w:val="002809F6"/>
    <w:rsid w:val="00280C69"/>
    <w:rsid w:val="00280EC5"/>
    <w:rsid w:val="00281A75"/>
    <w:rsid w:val="00281F6C"/>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574"/>
    <w:rsid w:val="00294324"/>
    <w:rsid w:val="002946D4"/>
    <w:rsid w:val="002947C0"/>
    <w:rsid w:val="002965CE"/>
    <w:rsid w:val="00296EC3"/>
    <w:rsid w:val="0029719C"/>
    <w:rsid w:val="00297405"/>
    <w:rsid w:val="00297F9A"/>
    <w:rsid w:val="002A02BE"/>
    <w:rsid w:val="002A0A3B"/>
    <w:rsid w:val="002A0DB7"/>
    <w:rsid w:val="002A0F12"/>
    <w:rsid w:val="002A1602"/>
    <w:rsid w:val="002A1A1C"/>
    <w:rsid w:val="002A245D"/>
    <w:rsid w:val="002A3CC2"/>
    <w:rsid w:val="002A529C"/>
    <w:rsid w:val="002A58FA"/>
    <w:rsid w:val="002A59FC"/>
    <w:rsid w:val="002A6B25"/>
    <w:rsid w:val="002A6B4B"/>
    <w:rsid w:val="002A6CA0"/>
    <w:rsid w:val="002A70D8"/>
    <w:rsid w:val="002A79C8"/>
    <w:rsid w:val="002B0460"/>
    <w:rsid w:val="002B06CF"/>
    <w:rsid w:val="002B07EA"/>
    <w:rsid w:val="002B0B5F"/>
    <w:rsid w:val="002B0F7E"/>
    <w:rsid w:val="002B101E"/>
    <w:rsid w:val="002B1581"/>
    <w:rsid w:val="002B26C3"/>
    <w:rsid w:val="002B306F"/>
    <w:rsid w:val="002B3172"/>
    <w:rsid w:val="002B4271"/>
    <w:rsid w:val="002B5EB4"/>
    <w:rsid w:val="002B6A94"/>
    <w:rsid w:val="002B751E"/>
    <w:rsid w:val="002B7A9E"/>
    <w:rsid w:val="002B7F07"/>
    <w:rsid w:val="002B7FDB"/>
    <w:rsid w:val="002C0411"/>
    <w:rsid w:val="002C0682"/>
    <w:rsid w:val="002C1498"/>
    <w:rsid w:val="002C1864"/>
    <w:rsid w:val="002C1DB9"/>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54F"/>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19C4"/>
    <w:rsid w:val="002F23BB"/>
    <w:rsid w:val="002F298E"/>
    <w:rsid w:val="002F2FA8"/>
    <w:rsid w:val="002F311C"/>
    <w:rsid w:val="002F335A"/>
    <w:rsid w:val="002F5F01"/>
    <w:rsid w:val="002F6300"/>
    <w:rsid w:val="002F64A4"/>
    <w:rsid w:val="0030016D"/>
    <w:rsid w:val="00301F62"/>
    <w:rsid w:val="00302641"/>
    <w:rsid w:val="00302DBD"/>
    <w:rsid w:val="003030D7"/>
    <w:rsid w:val="00304F20"/>
    <w:rsid w:val="00305223"/>
    <w:rsid w:val="00305A72"/>
    <w:rsid w:val="00305BDF"/>
    <w:rsid w:val="00305F83"/>
    <w:rsid w:val="00306B2E"/>
    <w:rsid w:val="003070FF"/>
    <w:rsid w:val="00307499"/>
    <w:rsid w:val="00307A68"/>
    <w:rsid w:val="00307DCC"/>
    <w:rsid w:val="003116A8"/>
    <w:rsid w:val="003127DD"/>
    <w:rsid w:val="00312E1C"/>
    <w:rsid w:val="00313EB3"/>
    <w:rsid w:val="00313FC5"/>
    <w:rsid w:val="00315003"/>
    <w:rsid w:val="0031505E"/>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341"/>
    <w:rsid w:val="00330D41"/>
    <w:rsid w:val="00330E29"/>
    <w:rsid w:val="003319A7"/>
    <w:rsid w:val="00332104"/>
    <w:rsid w:val="00332261"/>
    <w:rsid w:val="0033231E"/>
    <w:rsid w:val="0033351E"/>
    <w:rsid w:val="00333878"/>
    <w:rsid w:val="00333FEE"/>
    <w:rsid w:val="003357AB"/>
    <w:rsid w:val="003363E7"/>
    <w:rsid w:val="003364EB"/>
    <w:rsid w:val="00336990"/>
    <w:rsid w:val="00337A28"/>
    <w:rsid w:val="0034083D"/>
    <w:rsid w:val="003409BE"/>
    <w:rsid w:val="00340B83"/>
    <w:rsid w:val="003418A4"/>
    <w:rsid w:val="00341929"/>
    <w:rsid w:val="00341B63"/>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2E5"/>
    <w:rsid w:val="00374540"/>
    <w:rsid w:val="003753D0"/>
    <w:rsid w:val="003756FF"/>
    <w:rsid w:val="0037580F"/>
    <w:rsid w:val="0037664E"/>
    <w:rsid w:val="003777A6"/>
    <w:rsid w:val="00377D50"/>
    <w:rsid w:val="00380C70"/>
    <w:rsid w:val="00381B05"/>
    <w:rsid w:val="00381B16"/>
    <w:rsid w:val="0038248C"/>
    <w:rsid w:val="00382C29"/>
    <w:rsid w:val="00382C85"/>
    <w:rsid w:val="0038309E"/>
    <w:rsid w:val="00384D85"/>
    <w:rsid w:val="0038594B"/>
    <w:rsid w:val="00385C81"/>
    <w:rsid w:val="00386F82"/>
    <w:rsid w:val="0039012A"/>
    <w:rsid w:val="00390311"/>
    <w:rsid w:val="003904B1"/>
    <w:rsid w:val="00390BD4"/>
    <w:rsid w:val="00391311"/>
    <w:rsid w:val="003915B9"/>
    <w:rsid w:val="00391A39"/>
    <w:rsid w:val="00391F5A"/>
    <w:rsid w:val="003929A2"/>
    <w:rsid w:val="003936BB"/>
    <w:rsid w:val="00393961"/>
    <w:rsid w:val="00394467"/>
    <w:rsid w:val="00395521"/>
    <w:rsid w:val="0039564A"/>
    <w:rsid w:val="003956EB"/>
    <w:rsid w:val="00395A71"/>
    <w:rsid w:val="00396A5B"/>
    <w:rsid w:val="00396D00"/>
    <w:rsid w:val="003A0693"/>
    <w:rsid w:val="003A07D7"/>
    <w:rsid w:val="003A2056"/>
    <w:rsid w:val="003A3356"/>
    <w:rsid w:val="003A4B3A"/>
    <w:rsid w:val="003A5707"/>
    <w:rsid w:val="003A6459"/>
    <w:rsid w:val="003A7860"/>
    <w:rsid w:val="003A796A"/>
    <w:rsid w:val="003B009E"/>
    <w:rsid w:val="003B1472"/>
    <w:rsid w:val="003B1A5F"/>
    <w:rsid w:val="003B1D0F"/>
    <w:rsid w:val="003B26DB"/>
    <w:rsid w:val="003B282B"/>
    <w:rsid w:val="003B2B19"/>
    <w:rsid w:val="003B35A3"/>
    <w:rsid w:val="003B4BC1"/>
    <w:rsid w:val="003B5A8C"/>
    <w:rsid w:val="003B5C47"/>
    <w:rsid w:val="003B6158"/>
    <w:rsid w:val="003B7CFA"/>
    <w:rsid w:val="003B7DE9"/>
    <w:rsid w:val="003C018F"/>
    <w:rsid w:val="003C15D8"/>
    <w:rsid w:val="003C1EA0"/>
    <w:rsid w:val="003C2846"/>
    <w:rsid w:val="003C2DBA"/>
    <w:rsid w:val="003C2F46"/>
    <w:rsid w:val="003C3446"/>
    <w:rsid w:val="003C37A4"/>
    <w:rsid w:val="003C3B92"/>
    <w:rsid w:val="003C3EB1"/>
    <w:rsid w:val="003C47E1"/>
    <w:rsid w:val="003C4CD4"/>
    <w:rsid w:val="003C5A30"/>
    <w:rsid w:val="003C66DD"/>
    <w:rsid w:val="003C6EB7"/>
    <w:rsid w:val="003C6ED6"/>
    <w:rsid w:val="003C7530"/>
    <w:rsid w:val="003D0BBA"/>
    <w:rsid w:val="003D16A3"/>
    <w:rsid w:val="003D1B9C"/>
    <w:rsid w:val="003D1FBC"/>
    <w:rsid w:val="003D240A"/>
    <w:rsid w:val="003D2BE7"/>
    <w:rsid w:val="003D2ECF"/>
    <w:rsid w:val="003D36BF"/>
    <w:rsid w:val="003D37ED"/>
    <w:rsid w:val="003D395A"/>
    <w:rsid w:val="003D46B0"/>
    <w:rsid w:val="003D542C"/>
    <w:rsid w:val="003D6970"/>
    <w:rsid w:val="003D6BFA"/>
    <w:rsid w:val="003D6C2D"/>
    <w:rsid w:val="003D73A3"/>
    <w:rsid w:val="003E1C0F"/>
    <w:rsid w:val="003E28D8"/>
    <w:rsid w:val="003E3201"/>
    <w:rsid w:val="003E3F3B"/>
    <w:rsid w:val="003E4C87"/>
    <w:rsid w:val="003E54DE"/>
    <w:rsid w:val="003E57BF"/>
    <w:rsid w:val="003E6FC2"/>
    <w:rsid w:val="003E7191"/>
    <w:rsid w:val="003E7944"/>
    <w:rsid w:val="003F057E"/>
    <w:rsid w:val="003F0D27"/>
    <w:rsid w:val="003F1304"/>
    <w:rsid w:val="003F21EE"/>
    <w:rsid w:val="003F2C67"/>
    <w:rsid w:val="003F5824"/>
    <w:rsid w:val="003F61E0"/>
    <w:rsid w:val="003F641B"/>
    <w:rsid w:val="003F6B36"/>
    <w:rsid w:val="003F75BB"/>
    <w:rsid w:val="003F7A17"/>
    <w:rsid w:val="00401820"/>
    <w:rsid w:val="004025B5"/>
    <w:rsid w:val="004026C0"/>
    <w:rsid w:val="00402C8F"/>
    <w:rsid w:val="00402FED"/>
    <w:rsid w:val="00403087"/>
    <w:rsid w:val="004032A5"/>
    <w:rsid w:val="0040594C"/>
    <w:rsid w:val="00405C5D"/>
    <w:rsid w:val="00407C38"/>
    <w:rsid w:val="0041061B"/>
    <w:rsid w:val="00411195"/>
    <w:rsid w:val="00411413"/>
    <w:rsid w:val="00411BDE"/>
    <w:rsid w:val="004127A0"/>
    <w:rsid w:val="00412ABD"/>
    <w:rsid w:val="00412C14"/>
    <w:rsid w:val="00412F70"/>
    <w:rsid w:val="004130AB"/>
    <w:rsid w:val="00413801"/>
    <w:rsid w:val="00413861"/>
    <w:rsid w:val="0041471C"/>
    <w:rsid w:val="004154F5"/>
    <w:rsid w:val="0041567E"/>
    <w:rsid w:val="00420227"/>
    <w:rsid w:val="00420545"/>
    <w:rsid w:val="00420E1B"/>
    <w:rsid w:val="00420EE4"/>
    <w:rsid w:val="00421305"/>
    <w:rsid w:val="0042209A"/>
    <w:rsid w:val="0042222E"/>
    <w:rsid w:val="00422416"/>
    <w:rsid w:val="004226CD"/>
    <w:rsid w:val="00422766"/>
    <w:rsid w:val="004236F4"/>
    <w:rsid w:val="00423A74"/>
    <w:rsid w:val="00423C96"/>
    <w:rsid w:val="00425453"/>
    <w:rsid w:val="004260D4"/>
    <w:rsid w:val="004260DE"/>
    <w:rsid w:val="004261EA"/>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17"/>
    <w:rsid w:val="00446920"/>
    <w:rsid w:val="00446A96"/>
    <w:rsid w:val="00446C00"/>
    <w:rsid w:val="004474C1"/>
    <w:rsid w:val="00447E12"/>
    <w:rsid w:val="004507D8"/>
    <w:rsid w:val="00451431"/>
    <w:rsid w:val="004516EC"/>
    <w:rsid w:val="00452B20"/>
    <w:rsid w:val="00453AC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5D8F"/>
    <w:rsid w:val="00466DB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9AB"/>
    <w:rsid w:val="00475D6D"/>
    <w:rsid w:val="004763E4"/>
    <w:rsid w:val="00476490"/>
    <w:rsid w:val="004768CA"/>
    <w:rsid w:val="0047697B"/>
    <w:rsid w:val="00476C5C"/>
    <w:rsid w:val="00477751"/>
    <w:rsid w:val="00480100"/>
    <w:rsid w:val="00480B9F"/>
    <w:rsid w:val="00481302"/>
    <w:rsid w:val="00481604"/>
    <w:rsid w:val="00481FDC"/>
    <w:rsid w:val="00482364"/>
    <w:rsid w:val="004828DF"/>
    <w:rsid w:val="00482B30"/>
    <w:rsid w:val="00482C95"/>
    <w:rsid w:val="00483550"/>
    <w:rsid w:val="004837DF"/>
    <w:rsid w:val="004848C1"/>
    <w:rsid w:val="0048493C"/>
    <w:rsid w:val="004849F7"/>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4E5A"/>
    <w:rsid w:val="00495ADE"/>
    <w:rsid w:val="00495CA3"/>
    <w:rsid w:val="0049611C"/>
    <w:rsid w:val="00496546"/>
    <w:rsid w:val="00497D66"/>
    <w:rsid w:val="004A0605"/>
    <w:rsid w:val="004A0803"/>
    <w:rsid w:val="004A0F44"/>
    <w:rsid w:val="004A23E2"/>
    <w:rsid w:val="004A261A"/>
    <w:rsid w:val="004A36A8"/>
    <w:rsid w:val="004A37EB"/>
    <w:rsid w:val="004A3A2D"/>
    <w:rsid w:val="004A3CCF"/>
    <w:rsid w:val="004A3F12"/>
    <w:rsid w:val="004A476E"/>
    <w:rsid w:val="004A5096"/>
    <w:rsid w:val="004A5DC0"/>
    <w:rsid w:val="004A603F"/>
    <w:rsid w:val="004A64E5"/>
    <w:rsid w:val="004A6AB4"/>
    <w:rsid w:val="004A7239"/>
    <w:rsid w:val="004A75B0"/>
    <w:rsid w:val="004A78CD"/>
    <w:rsid w:val="004A7A22"/>
    <w:rsid w:val="004B07A7"/>
    <w:rsid w:val="004B0D3E"/>
    <w:rsid w:val="004B0F4B"/>
    <w:rsid w:val="004B15BB"/>
    <w:rsid w:val="004B1639"/>
    <w:rsid w:val="004B1EDB"/>
    <w:rsid w:val="004B2869"/>
    <w:rsid w:val="004B384B"/>
    <w:rsid w:val="004B393A"/>
    <w:rsid w:val="004B3ECE"/>
    <w:rsid w:val="004B3F99"/>
    <w:rsid w:val="004B46F6"/>
    <w:rsid w:val="004B4E86"/>
    <w:rsid w:val="004B4FE3"/>
    <w:rsid w:val="004B504B"/>
    <w:rsid w:val="004B50BB"/>
    <w:rsid w:val="004B5614"/>
    <w:rsid w:val="004B5877"/>
    <w:rsid w:val="004B5B65"/>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09DC"/>
    <w:rsid w:val="004D1409"/>
    <w:rsid w:val="004D1852"/>
    <w:rsid w:val="004D1AAF"/>
    <w:rsid w:val="004D24E3"/>
    <w:rsid w:val="004D25DC"/>
    <w:rsid w:val="004D2D1C"/>
    <w:rsid w:val="004D2EAF"/>
    <w:rsid w:val="004D4045"/>
    <w:rsid w:val="004D4171"/>
    <w:rsid w:val="004D4B8D"/>
    <w:rsid w:val="004D4C72"/>
    <w:rsid w:val="004D4FFD"/>
    <w:rsid w:val="004D5D8D"/>
    <w:rsid w:val="004D67AC"/>
    <w:rsid w:val="004D696E"/>
    <w:rsid w:val="004E0DA9"/>
    <w:rsid w:val="004E16CE"/>
    <w:rsid w:val="004E1944"/>
    <w:rsid w:val="004E197E"/>
    <w:rsid w:val="004E1EEE"/>
    <w:rsid w:val="004E2AC7"/>
    <w:rsid w:val="004E2F91"/>
    <w:rsid w:val="004E407D"/>
    <w:rsid w:val="004E4FB7"/>
    <w:rsid w:val="004E563C"/>
    <w:rsid w:val="004E69C5"/>
    <w:rsid w:val="004E6C9B"/>
    <w:rsid w:val="004E6FA5"/>
    <w:rsid w:val="004E724F"/>
    <w:rsid w:val="004F0A1D"/>
    <w:rsid w:val="004F1A5E"/>
    <w:rsid w:val="004F2E2A"/>
    <w:rsid w:val="004F34FF"/>
    <w:rsid w:val="004F37F3"/>
    <w:rsid w:val="004F3F44"/>
    <w:rsid w:val="004F4262"/>
    <w:rsid w:val="004F457C"/>
    <w:rsid w:val="004F46AD"/>
    <w:rsid w:val="004F4C56"/>
    <w:rsid w:val="004F4F14"/>
    <w:rsid w:val="004F5885"/>
    <w:rsid w:val="004F5DCE"/>
    <w:rsid w:val="004F6DE0"/>
    <w:rsid w:val="004F71F1"/>
    <w:rsid w:val="004F75D2"/>
    <w:rsid w:val="004F7DE7"/>
    <w:rsid w:val="004F7DFB"/>
    <w:rsid w:val="00501602"/>
    <w:rsid w:val="00501EDE"/>
    <w:rsid w:val="00502535"/>
    <w:rsid w:val="005026A9"/>
    <w:rsid w:val="00502ECC"/>
    <w:rsid w:val="0050335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3DE"/>
    <w:rsid w:val="00513C29"/>
    <w:rsid w:val="00513FB7"/>
    <w:rsid w:val="00514A01"/>
    <w:rsid w:val="00515A3D"/>
    <w:rsid w:val="00515A5C"/>
    <w:rsid w:val="00516331"/>
    <w:rsid w:val="005166CA"/>
    <w:rsid w:val="00516920"/>
    <w:rsid w:val="00517206"/>
    <w:rsid w:val="00517DD4"/>
    <w:rsid w:val="00520296"/>
    <w:rsid w:val="00520A89"/>
    <w:rsid w:val="005210A8"/>
    <w:rsid w:val="00521489"/>
    <w:rsid w:val="00521874"/>
    <w:rsid w:val="0052196B"/>
    <w:rsid w:val="005233C0"/>
    <w:rsid w:val="00524FAE"/>
    <w:rsid w:val="005254C2"/>
    <w:rsid w:val="005256A4"/>
    <w:rsid w:val="00525A0E"/>
    <w:rsid w:val="00525DDE"/>
    <w:rsid w:val="00527038"/>
    <w:rsid w:val="00527402"/>
    <w:rsid w:val="005276C8"/>
    <w:rsid w:val="00527DF6"/>
    <w:rsid w:val="005302E9"/>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6C9"/>
    <w:rsid w:val="00540769"/>
    <w:rsid w:val="0054123C"/>
    <w:rsid w:val="00542562"/>
    <w:rsid w:val="00542E88"/>
    <w:rsid w:val="00543BB3"/>
    <w:rsid w:val="00544721"/>
    <w:rsid w:val="00544BBD"/>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98"/>
    <w:rsid w:val="00560433"/>
    <w:rsid w:val="00560464"/>
    <w:rsid w:val="00560623"/>
    <w:rsid w:val="0056090D"/>
    <w:rsid w:val="005615E4"/>
    <w:rsid w:val="00563842"/>
    <w:rsid w:val="00563B4D"/>
    <w:rsid w:val="00563CD8"/>
    <w:rsid w:val="005640BD"/>
    <w:rsid w:val="005648F5"/>
    <w:rsid w:val="00564B99"/>
    <w:rsid w:val="00564D4C"/>
    <w:rsid w:val="00564E51"/>
    <w:rsid w:val="00565367"/>
    <w:rsid w:val="00565A82"/>
    <w:rsid w:val="00565D50"/>
    <w:rsid w:val="00566202"/>
    <w:rsid w:val="00566784"/>
    <w:rsid w:val="00566B03"/>
    <w:rsid w:val="00566D18"/>
    <w:rsid w:val="00566FAD"/>
    <w:rsid w:val="00567075"/>
    <w:rsid w:val="00567349"/>
    <w:rsid w:val="0056761E"/>
    <w:rsid w:val="00571574"/>
    <w:rsid w:val="005724E9"/>
    <w:rsid w:val="0057290E"/>
    <w:rsid w:val="00572BE3"/>
    <w:rsid w:val="00572C22"/>
    <w:rsid w:val="00573B96"/>
    <w:rsid w:val="0057408D"/>
    <w:rsid w:val="00574CC2"/>
    <w:rsid w:val="00574D98"/>
    <w:rsid w:val="005752E2"/>
    <w:rsid w:val="0057545A"/>
    <w:rsid w:val="00575F80"/>
    <w:rsid w:val="00575FB1"/>
    <w:rsid w:val="00580455"/>
    <w:rsid w:val="005808CA"/>
    <w:rsid w:val="0058115C"/>
    <w:rsid w:val="0058173B"/>
    <w:rsid w:val="005820B6"/>
    <w:rsid w:val="00582153"/>
    <w:rsid w:val="005828B5"/>
    <w:rsid w:val="00582B42"/>
    <w:rsid w:val="00583227"/>
    <w:rsid w:val="005837FD"/>
    <w:rsid w:val="00583923"/>
    <w:rsid w:val="005843B5"/>
    <w:rsid w:val="00584C74"/>
    <w:rsid w:val="00585601"/>
    <w:rsid w:val="0058589F"/>
    <w:rsid w:val="005858A3"/>
    <w:rsid w:val="0058593A"/>
    <w:rsid w:val="00585FFF"/>
    <w:rsid w:val="0058649E"/>
    <w:rsid w:val="0058662F"/>
    <w:rsid w:val="0058694F"/>
    <w:rsid w:val="00586ED1"/>
    <w:rsid w:val="005878D0"/>
    <w:rsid w:val="0059101B"/>
    <w:rsid w:val="00592474"/>
    <w:rsid w:val="0059286F"/>
    <w:rsid w:val="00592BC7"/>
    <w:rsid w:val="00592F54"/>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9ED"/>
    <w:rsid w:val="005A6B14"/>
    <w:rsid w:val="005A7161"/>
    <w:rsid w:val="005A7312"/>
    <w:rsid w:val="005A742F"/>
    <w:rsid w:val="005A7602"/>
    <w:rsid w:val="005A7CF8"/>
    <w:rsid w:val="005B0365"/>
    <w:rsid w:val="005B04D8"/>
    <w:rsid w:val="005B07F5"/>
    <w:rsid w:val="005B085D"/>
    <w:rsid w:val="005B10B5"/>
    <w:rsid w:val="005B1A17"/>
    <w:rsid w:val="005B1B77"/>
    <w:rsid w:val="005B2321"/>
    <w:rsid w:val="005B28D1"/>
    <w:rsid w:val="005B425D"/>
    <w:rsid w:val="005B460B"/>
    <w:rsid w:val="005B496D"/>
    <w:rsid w:val="005B52C4"/>
    <w:rsid w:val="005C026B"/>
    <w:rsid w:val="005C194C"/>
    <w:rsid w:val="005C2667"/>
    <w:rsid w:val="005C295A"/>
    <w:rsid w:val="005C2C21"/>
    <w:rsid w:val="005C3B4F"/>
    <w:rsid w:val="005C44D1"/>
    <w:rsid w:val="005C52A6"/>
    <w:rsid w:val="005C6812"/>
    <w:rsid w:val="005C6D2C"/>
    <w:rsid w:val="005C7E7D"/>
    <w:rsid w:val="005D097E"/>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0CB7"/>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38BD"/>
    <w:rsid w:val="00604463"/>
    <w:rsid w:val="00604555"/>
    <w:rsid w:val="00604A0F"/>
    <w:rsid w:val="00604DB2"/>
    <w:rsid w:val="00606DBB"/>
    <w:rsid w:val="0060756B"/>
    <w:rsid w:val="006077A7"/>
    <w:rsid w:val="00607959"/>
    <w:rsid w:val="0060798E"/>
    <w:rsid w:val="00610F93"/>
    <w:rsid w:val="00610FBE"/>
    <w:rsid w:val="00612593"/>
    <w:rsid w:val="00613278"/>
    <w:rsid w:val="006138E0"/>
    <w:rsid w:val="00613BFA"/>
    <w:rsid w:val="00614799"/>
    <w:rsid w:val="00615D0E"/>
    <w:rsid w:val="0061673E"/>
    <w:rsid w:val="00617744"/>
    <w:rsid w:val="00617950"/>
    <w:rsid w:val="00617BB8"/>
    <w:rsid w:val="00620B29"/>
    <w:rsid w:val="00621772"/>
    <w:rsid w:val="00622770"/>
    <w:rsid w:val="00622801"/>
    <w:rsid w:val="00622BDF"/>
    <w:rsid w:val="00623221"/>
    <w:rsid w:val="00624FDF"/>
    <w:rsid w:val="006252F2"/>
    <w:rsid w:val="00625D43"/>
    <w:rsid w:val="00626122"/>
    <w:rsid w:val="00626803"/>
    <w:rsid w:val="006278F4"/>
    <w:rsid w:val="00627B98"/>
    <w:rsid w:val="00631305"/>
    <w:rsid w:val="00631606"/>
    <w:rsid w:val="00631F71"/>
    <w:rsid w:val="006328A6"/>
    <w:rsid w:val="0063336C"/>
    <w:rsid w:val="00633471"/>
    <w:rsid w:val="00633B1C"/>
    <w:rsid w:val="00633C00"/>
    <w:rsid w:val="00634272"/>
    <w:rsid w:val="006349A7"/>
    <w:rsid w:val="00634C01"/>
    <w:rsid w:val="00634DD7"/>
    <w:rsid w:val="00634EA3"/>
    <w:rsid w:val="00635717"/>
    <w:rsid w:val="00636844"/>
    <w:rsid w:val="00636D27"/>
    <w:rsid w:val="0063736B"/>
    <w:rsid w:val="006374D1"/>
    <w:rsid w:val="00637D18"/>
    <w:rsid w:val="0064175A"/>
    <w:rsid w:val="00641E4E"/>
    <w:rsid w:val="00642734"/>
    <w:rsid w:val="00642971"/>
    <w:rsid w:val="00642BEF"/>
    <w:rsid w:val="006434FA"/>
    <w:rsid w:val="00643547"/>
    <w:rsid w:val="00643E65"/>
    <w:rsid w:val="00643E90"/>
    <w:rsid w:val="006447C5"/>
    <w:rsid w:val="0064565D"/>
    <w:rsid w:val="00645AFA"/>
    <w:rsid w:val="00645B20"/>
    <w:rsid w:val="00645D4F"/>
    <w:rsid w:val="00647646"/>
    <w:rsid w:val="006479C7"/>
    <w:rsid w:val="0065036F"/>
    <w:rsid w:val="00650ADD"/>
    <w:rsid w:val="00651CAA"/>
    <w:rsid w:val="00652357"/>
    <w:rsid w:val="006525F5"/>
    <w:rsid w:val="00652C81"/>
    <w:rsid w:val="00652D56"/>
    <w:rsid w:val="0065352F"/>
    <w:rsid w:val="00653B49"/>
    <w:rsid w:val="00655550"/>
    <w:rsid w:val="0065581E"/>
    <w:rsid w:val="00655AEE"/>
    <w:rsid w:val="0065634F"/>
    <w:rsid w:val="00656FAB"/>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67BD0"/>
    <w:rsid w:val="0067046B"/>
    <w:rsid w:val="00670A4F"/>
    <w:rsid w:val="00670FB7"/>
    <w:rsid w:val="0067123A"/>
    <w:rsid w:val="006714FB"/>
    <w:rsid w:val="0067195C"/>
    <w:rsid w:val="00671ACB"/>
    <w:rsid w:val="00671BCD"/>
    <w:rsid w:val="00671EA7"/>
    <w:rsid w:val="00673184"/>
    <w:rsid w:val="006746A1"/>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6FE"/>
    <w:rsid w:val="006A1D42"/>
    <w:rsid w:val="006A29D6"/>
    <w:rsid w:val="006A2EC3"/>
    <w:rsid w:val="006A37C9"/>
    <w:rsid w:val="006A3CFD"/>
    <w:rsid w:val="006A3F40"/>
    <w:rsid w:val="006A790B"/>
    <w:rsid w:val="006A7B7D"/>
    <w:rsid w:val="006B01F7"/>
    <w:rsid w:val="006B22B6"/>
    <w:rsid w:val="006B33B8"/>
    <w:rsid w:val="006B34B3"/>
    <w:rsid w:val="006B371D"/>
    <w:rsid w:val="006B4156"/>
    <w:rsid w:val="006B4577"/>
    <w:rsid w:val="006B556B"/>
    <w:rsid w:val="006B5AAA"/>
    <w:rsid w:val="006B5DBA"/>
    <w:rsid w:val="006B65A1"/>
    <w:rsid w:val="006B6AB6"/>
    <w:rsid w:val="006B717C"/>
    <w:rsid w:val="006B727A"/>
    <w:rsid w:val="006B732C"/>
    <w:rsid w:val="006C05C5"/>
    <w:rsid w:val="006C093D"/>
    <w:rsid w:val="006C163A"/>
    <w:rsid w:val="006C1D68"/>
    <w:rsid w:val="006C3252"/>
    <w:rsid w:val="006C48F6"/>
    <w:rsid w:val="006C519A"/>
    <w:rsid w:val="006C51F0"/>
    <w:rsid w:val="006C52D4"/>
    <w:rsid w:val="006C5786"/>
    <w:rsid w:val="006C584B"/>
    <w:rsid w:val="006D00F3"/>
    <w:rsid w:val="006D0FA8"/>
    <w:rsid w:val="006D1263"/>
    <w:rsid w:val="006D171C"/>
    <w:rsid w:val="006D1B17"/>
    <w:rsid w:val="006D1D07"/>
    <w:rsid w:val="006D21AA"/>
    <w:rsid w:val="006D23BA"/>
    <w:rsid w:val="006D24CA"/>
    <w:rsid w:val="006D341B"/>
    <w:rsid w:val="006D3542"/>
    <w:rsid w:val="006D3BF4"/>
    <w:rsid w:val="006D3FFD"/>
    <w:rsid w:val="006D4EA6"/>
    <w:rsid w:val="006D618E"/>
    <w:rsid w:val="006D62DA"/>
    <w:rsid w:val="006D662E"/>
    <w:rsid w:val="006D66E8"/>
    <w:rsid w:val="006D6E11"/>
    <w:rsid w:val="006D6FA0"/>
    <w:rsid w:val="006E0743"/>
    <w:rsid w:val="006E08C9"/>
    <w:rsid w:val="006E09C3"/>
    <w:rsid w:val="006E28B1"/>
    <w:rsid w:val="006E30B0"/>
    <w:rsid w:val="006E3712"/>
    <w:rsid w:val="006E3E7B"/>
    <w:rsid w:val="006E3F80"/>
    <w:rsid w:val="006E423D"/>
    <w:rsid w:val="006E4C56"/>
    <w:rsid w:val="006E53FA"/>
    <w:rsid w:val="006E55CD"/>
    <w:rsid w:val="006E7677"/>
    <w:rsid w:val="006E7E43"/>
    <w:rsid w:val="006E7FCD"/>
    <w:rsid w:val="006F01E6"/>
    <w:rsid w:val="006F0507"/>
    <w:rsid w:val="006F05FA"/>
    <w:rsid w:val="006F214B"/>
    <w:rsid w:val="006F2882"/>
    <w:rsid w:val="006F392F"/>
    <w:rsid w:val="006F3AE3"/>
    <w:rsid w:val="006F3D84"/>
    <w:rsid w:val="006F3EAE"/>
    <w:rsid w:val="006F42E6"/>
    <w:rsid w:val="006F53D8"/>
    <w:rsid w:val="006F5F82"/>
    <w:rsid w:val="006F6AD5"/>
    <w:rsid w:val="006F7127"/>
    <w:rsid w:val="00700342"/>
    <w:rsid w:val="007006E7"/>
    <w:rsid w:val="007017C5"/>
    <w:rsid w:val="00701964"/>
    <w:rsid w:val="00701BB0"/>
    <w:rsid w:val="00702357"/>
    <w:rsid w:val="00702DB8"/>
    <w:rsid w:val="007034B1"/>
    <w:rsid w:val="00703C67"/>
    <w:rsid w:val="007061F8"/>
    <w:rsid w:val="007063E1"/>
    <w:rsid w:val="00706FB2"/>
    <w:rsid w:val="00707218"/>
    <w:rsid w:val="007074F5"/>
    <w:rsid w:val="00711A79"/>
    <w:rsid w:val="007125BE"/>
    <w:rsid w:val="00712803"/>
    <w:rsid w:val="0071294F"/>
    <w:rsid w:val="00712EA4"/>
    <w:rsid w:val="00712F85"/>
    <w:rsid w:val="00714B4F"/>
    <w:rsid w:val="007150E9"/>
    <w:rsid w:val="00715ACF"/>
    <w:rsid w:val="007161D0"/>
    <w:rsid w:val="007162FB"/>
    <w:rsid w:val="00716EF1"/>
    <w:rsid w:val="007173D7"/>
    <w:rsid w:val="00717ADD"/>
    <w:rsid w:val="0072084C"/>
    <w:rsid w:val="00720A5C"/>
    <w:rsid w:val="00720AC2"/>
    <w:rsid w:val="0072130D"/>
    <w:rsid w:val="007230D3"/>
    <w:rsid w:val="0072348D"/>
    <w:rsid w:val="007242A5"/>
    <w:rsid w:val="0072615B"/>
    <w:rsid w:val="007267CF"/>
    <w:rsid w:val="00727843"/>
    <w:rsid w:val="007304C0"/>
    <w:rsid w:val="0073079A"/>
    <w:rsid w:val="00731FCA"/>
    <w:rsid w:val="007325C8"/>
    <w:rsid w:val="00732B93"/>
    <w:rsid w:val="0073324D"/>
    <w:rsid w:val="0073362E"/>
    <w:rsid w:val="0073394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4F88"/>
    <w:rsid w:val="0074539C"/>
    <w:rsid w:val="00745752"/>
    <w:rsid w:val="00745796"/>
    <w:rsid w:val="00746F5A"/>
    <w:rsid w:val="007473CD"/>
    <w:rsid w:val="00747B77"/>
    <w:rsid w:val="00747C35"/>
    <w:rsid w:val="00750E62"/>
    <w:rsid w:val="00751072"/>
    <w:rsid w:val="00751334"/>
    <w:rsid w:val="00751E3C"/>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3D14"/>
    <w:rsid w:val="00785111"/>
    <w:rsid w:val="00785A2E"/>
    <w:rsid w:val="007860BA"/>
    <w:rsid w:val="00786EFB"/>
    <w:rsid w:val="007876BF"/>
    <w:rsid w:val="007879A7"/>
    <w:rsid w:val="00787FE9"/>
    <w:rsid w:val="007908C6"/>
    <w:rsid w:val="007912A7"/>
    <w:rsid w:val="00792A7D"/>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4476"/>
    <w:rsid w:val="007A56B7"/>
    <w:rsid w:val="007A5CEC"/>
    <w:rsid w:val="007A61F8"/>
    <w:rsid w:val="007A65FC"/>
    <w:rsid w:val="007A67F5"/>
    <w:rsid w:val="007A7386"/>
    <w:rsid w:val="007A7861"/>
    <w:rsid w:val="007B01B5"/>
    <w:rsid w:val="007B0229"/>
    <w:rsid w:val="007B0BFE"/>
    <w:rsid w:val="007B1B62"/>
    <w:rsid w:val="007B1C22"/>
    <w:rsid w:val="007B24BC"/>
    <w:rsid w:val="007B3C6A"/>
    <w:rsid w:val="007B41A6"/>
    <w:rsid w:val="007B44D0"/>
    <w:rsid w:val="007B4652"/>
    <w:rsid w:val="007B4FD7"/>
    <w:rsid w:val="007B5F56"/>
    <w:rsid w:val="007B7B09"/>
    <w:rsid w:val="007B7C01"/>
    <w:rsid w:val="007C05D2"/>
    <w:rsid w:val="007C1B6C"/>
    <w:rsid w:val="007C29E1"/>
    <w:rsid w:val="007C2C13"/>
    <w:rsid w:val="007C2CEC"/>
    <w:rsid w:val="007C3391"/>
    <w:rsid w:val="007C4D57"/>
    <w:rsid w:val="007C4F4F"/>
    <w:rsid w:val="007C5719"/>
    <w:rsid w:val="007C5812"/>
    <w:rsid w:val="007C70BD"/>
    <w:rsid w:val="007C74F4"/>
    <w:rsid w:val="007D1C72"/>
    <w:rsid w:val="007D1E64"/>
    <w:rsid w:val="007D223D"/>
    <w:rsid w:val="007D27F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3BCD"/>
    <w:rsid w:val="007E427E"/>
    <w:rsid w:val="007E450C"/>
    <w:rsid w:val="007E4AD4"/>
    <w:rsid w:val="007E5C16"/>
    <w:rsid w:val="007E5C40"/>
    <w:rsid w:val="007E6FD3"/>
    <w:rsid w:val="007E7B46"/>
    <w:rsid w:val="007F02C3"/>
    <w:rsid w:val="007F11E6"/>
    <w:rsid w:val="007F20FF"/>
    <w:rsid w:val="007F2388"/>
    <w:rsid w:val="007F2641"/>
    <w:rsid w:val="007F280C"/>
    <w:rsid w:val="007F2FAC"/>
    <w:rsid w:val="007F349F"/>
    <w:rsid w:val="007F475E"/>
    <w:rsid w:val="007F5028"/>
    <w:rsid w:val="007F5BA5"/>
    <w:rsid w:val="007F6891"/>
    <w:rsid w:val="00800527"/>
    <w:rsid w:val="00801D9D"/>
    <w:rsid w:val="00801FD8"/>
    <w:rsid w:val="00802917"/>
    <w:rsid w:val="00802AA1"/>
    <w:rsid w:val="00802E1E"/>
    <w:rsid w:val="00803E4E"/>
    <w:rsid w:val="00804124"/>
    <w:rsid w:val="0080421C"/>
    <w:rsid w:val="008049E4"/>
    <w:rsid w:val="00804B0A"/>
    <w:rsid w:val="00804D61"/>
    <w:rsid w:val="00804E0C"/>
    <w:rsid w:val="0080731D"/>
    <w:rsid w:val="00807556"/>
    <w:rsid w:val="0080765B"/>
    <w:rsid w:val="00807D21"/>
    <w:rsid w:val="008104B8"/>
    <w:rsid w:val="00810748"/>
    <w:rsid w:val="008109CA"/>
    <w:rsid w:val="00812036"/>
    <w:rsid w:val="0081273E"/>
    <w:rsid w:val="00813D9B"/>
    <w:rsid w:val="008140EC"/>
    <w:rsid w:val="00814A2D"/>
    <w:rsid w:val="00817095"/>
    <w:rsid w:val="008171AA"/>
    <w:rsid w:val="0082041F"/>
    <w:rsid w:val="00821A95"/>
    <w:rsid w:val="00822077"/>
    <w:rsid w:val="00822A02"/>
    <w:rsid w:val="008231A9"/>
    <w:rsid w:val="0082357B"/>
    <w:rsid w:val="0082395F"/>
    <w:rsid w:val="00823B22"/>
    <w:rsid w:val="008243ED"/>
    <w:rsid w:val="008254BC"/>
    <w:rsid w:val="008260D8"/>
    <w:rsid w:val="00826FDC"/>
    <w:rsid w:val="008308BE"/>
    <w:rsid w:val="00830CE5"/>
    <w:rsid w:val="008313C2"/>
    <w:rsid w:val="00832520"/>
    <w:rsid w:val="00832E80"/>
    <w:rsid w:val="00832EB5"/>
    <w:rsid w:val="00832F22"/>
    <w:rsid w:val="008330F0"/>
    <w:rsid w:val="00833BDD"/>
    <w:rsid w:val="008354E7"/>
    <w:rsid w:val="0083565A"/>
    <w:rsid w:val="00835A0B"/>
    <w:rsid w:val="00835D65"/>
    <w:rsid w:val="008409AE"/>
    <w:rsid w:val="00840EA7"/>
    <w:rsid w:val="008428E1"/>
    <w:rsid w:val="00842F87"/>
    <w:rsid w:val="008432CC"/>
    <w:rsid w:val="00843CE4"/>
    <w:rsid w:val="0084425F"/>
    <w:rsid w:val="00844E79"/>
    <w:rsid w:val="008465D2"/>
    <w:rsid w:val="00846A95"/>
    <w:rsid w:val="00850792"/>
    <w:rsid w:val="0085298F"/>
    <w:rsid w:val="00852A5A"/>
    <w:rsid w:val="00852FA8"/>
    <w:rsid w:val="00853AF4"/>
    <w:rsid w:val="00853C81"/>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67F34"/>
    <w:rsid w:val="008703E4"/>
    <w:rsid w:val="00871B95"/>
    <w:rsid w:val="008728CD"/>
    <w:rsid w:val="00873215"/>
    <w:rsid w:val="008733E5"/>
    <w:rsid w:val="0087374A"/>
    <w:rsid w:val="00873CA8"/>
    <w:rsid w:val="00874174"/>
    <w:rsid w:val="008741C9"/>
    <w:rsid w:val="00874DFD"/>
    <w:rsid w:val="00874F21"/>
    <w:rsid w:val="00875651"/>
    <w:rsid w:val="00875717"/>
    <w:rsid w:val="0087645A"/>
    <w:rsid w:val="00876A21"/>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E9C"/>
    <w:rsid w:val="00886F70"/>
    <w:rsid w:val="00887099"/>
    <w:rsid w:val="008870EA"/>
    <w:rsid w:val="00887663"/>
    <w:rsid w:val="00887E71"/>
    <w:rsid w:val="00890CE6"/>
    <w:rsid w:val="00891958"/>
    <w:rsid w:val="00892477"/>
    <w:rsid w:val="00892A08"/>
    <w:rsid w:val="00892A78"/>
    <w:rsid w:val="008943CF"/>
    <w:rsid w:val="008945D6"/>
    <w:rsid w:val="00895C0F"/>
    <w:rsid w:val="00895FE5"/>
    <w:rsid w:val="00896993"/>
    <w:rsid w:val="00896FAB"/>
    <w:rsid w:val="008973E6"/>
    <w:rsid w:val="00897778"/>
    <w:rsid w:val="00897A39"/>
    <w:rsid w:val="00897BD4"/>
    <w:rsid w:val="008A08A4"/>
    <w:rsid w:val="008A15EC"/>
    <w:rsid w:val="008A3B27"/>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140F"/>
    <w:rsid w:val="008B21DA"/>
    <w:rsid w:val="008B25D2"/>
    <w:rsid w:val="008B2DD2"/>
    <w:rsid w:val="008B361D"/>
    <w:rsid w:val="008B3825"/>
    <w:rsid w:val="008B420A"/>
    <w:rsid w:val="008B51E2"/>
    <w:rsid w:val="008B5652"/>
    <w:rsid w:val="008B56C4"/>
    <w:rsid w:val="008B56EF"/>
    <w:rsid w:val="008B5982"/>
    <w:rsid w:val="008B6135"/>
    <w:rsid w:val="008B6214"/>
    <w:rsid w:val="008B66C8"/>
    <w:rsid w:val="008B676E"/>
    <w:rsid w:val="008B6DBE"/>
    <w:rsid w:val="008B73E8"/>
    <w:rsid w:val="008B7B4F"/>
    <w:rsid w:val="008B7F2F"/>
    <w:rsid w:val="008C0ECB"/>
    <w:rsid w:val="008C1818"/>
    <w:rsid w:val="008C2EE4"/>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D74CC"/>
    <w:rsid w:val="008E0416"/>
    <w:rsid w:val="008E07BA"/>
    <w:rsid w:val="008E0A47"/>
    <w:rsid w:val="008E0BDD"/>
    <w:rsid w:val="008E0F0D"/>
    <w:rsid w:val="008E1130"/>
    <w:rsid w:val="008E160B"/>
    <w:rsid w:val="008E170C"/>
    <w:rsid w:val="008E24FB"/>
    <w:rsid w:val="008E3173"/>
    <w:rsid w:val="008E3347"/>
    <w:rsid w:val="008E40F9"/>
    <w:rsid w:val="008E4479"/>
    <w:rsid w:val="008E4958"/>
    <w:rsid w:val="008E510A"/>
    <w:rsid w:val="008E6B75"/>
    <w:rsid w:val="008E6C61"/>
    <w:rsid w:val="008E6DB6"/>
    <w:rsid w:val="008E77A9"/>
    <w:rsid w:val="008E7F9D"/>
    <w:rsid w:val="008F05DE"/>
    <w:rsid w:val="008F09AE"/>
    <w:rsid w:val="008F0AC3"/>
    <w:rsid w:val="008F1DC5"/>
    <w:rsid w:val="008F1F8E"/>
    <w:rsid w:val="008F2299"/>
    <w:rsid w:val="008F2441"/>
    <w:rsid w:val="008F28C0"/>
    <w:rsid w:val="008F2AFB"/>
    <w:rsid w:val="008F4697"/>
    <w:rsid w:val="008F4B96"/>
    <w:rsid w:val="008F53E8"/>
    <w:rsid w:val="008F58D0"/>
    <w:rsid w:val="008F5F59"/>
    <w:rsid w:val="008F640B"/>
    <w:rsid w:val="008F6C67"/>
    <w:rsid w:val="008F79F2"/>
    <w:rsid w:val="008F7B57"/>
    <w:rsid w:val="0090242B"/>
    <w:rsid w:val="00903866"/>
    <w:rsid w:val="00903C3F"/>
    <w:rsid w:val="00903F9C"/>
    <w:rsid w:val="0090455B"/>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2F91"/>
    <w:rsid w:val="00914B83"/>
    <w:rsid w:val="009159E4"/>
    <w:rsid w:val="009166D3"/>
    <w:rsid w:val="00916BA8"/>
    <w:rsid w:val="0092167E"/>
    <w:rsid w:val="00921E32"/>
    <w:rsid w:val="00921E89"/>
    <w:rsid w:val="00922097"/>
    <w:rsid w:val="009220E9"/>
    <w:rsid w:val="00922DD4"/>
    <w:rsid w:val="00923E67"/>
    <w:rsid w:val="00923E96"/>
    <w:rsid w:val="00924B04"/>
    <w:rsid w:val="009253C7"/>
    <w:rsid w:val="009255FA"/>
    <w:rsid w:val="00925647"/>
    <w:rsid w:val="0092652E"/>
    <w:rsid w:val="0092691D"/>
    <w:rsid w:val="00927612"/>
    <w:rsid w:val="00927737"/>
    <w:rsid w:val="00930F9F"/>
    <w:rsid w:val="00931D1D"/>
    <w:rsid w:val="00931D32"/>
    <w:rsid w:val="009323E1"/>
    <w:rsid w:val="009324A8"/>
    <w:rsid w:val="00932532"/>
    <w:rsid w:val="00934A46"/>
    <w:rsid w:val="00935BC3"/>
    <w:rsid w:val="00936C73"/>
    <w:rsid w:val="00937266"/>
    <w:rsid w:val="00940AA9"/>
    <w:rsid w:val="00940D62"/>
    <w:rsid w:val="00941264"/>
    <w:rsid w:val="00941B17"/>
    <w:rsid w:val="00942439"/>
    <w:rsid w:val="0094296E"/>
    <w:rsid w:val="0094298C"/>
    <w:rsid w:val="0094553A"/>
    <w:rsid w:val="00946BB8"/>
    <w:rsid w:val="00947FC1"/>
    <w:rsid w:val="00950C3E"/>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5F91"/>
    <w:rsid w:val="009767B4"/>
    <w:rsid w:val="00976A11"/>
    <w:rsid w:val="00977344"/>
    <w:rsid w:val="00977F49"/>
    <w:rsid w:val="009817FD"/>
    <w:rsid w:val="00981EDA"/>
    <w:rsid w:val="00982365"/>
    <w:rsid w:val="00982ECE"/>
    <w:rsid w:val="009844BA"/>
    <w:rsid w:val="009857F1"/>
    <w:rsid w:val="00985A7D"/>
    <w:rsid w:val="00985F93"/>
    <w:rsid w:val="00986BF8"/>
    <w:rsid w:val="00986C82"/>
    <w:rsid w:val="009911F3"/>
    <w:rsid w:val="00991319"/>
    <w:rsid w:val="0099311D"/>
    <w:rsid w:val="00993552"/>
    <w:rsid w:val="00993933"/>
    <w:rsid w:val="00993CBF"/>
    <w:rsid w:val="00993CD7"/>
    <w:rsid w:val="00994865"/>
    <w:rsid w:val="00995A6D"/>
    <w:rsid w:val="00995DAD"/>
    <w:rsid w:val="00995F4D"/>
    <w:rsid w:val="00996726"/>
    <w:rsid w:val="00996EF4"/>
    <w:rsid w:val="009973BE"/>
    <w:rsid w:val="00997849"/>
    <w:rsid w:val="00997A98"/>
    <w:rsid w:val="009A0FE4"/>
    <w:rsid w:val="009A1480"/>
    <w:rsid w:val="009A271A"/>
    <w:rsid w:val="009A29FA"/>
    <w:rsid w:val="009A35FA"/>
    <w:rsid w:val="009A3A50"/>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594"/>
    <w:rsid w:val="009C595B"/>
    <w:rsid w:val="009C6673"/>
    <w:rsid w:val="009C6CB5"/>
    <w:rsid w:val="009C6CFE"/>
    <w:rsid w:val="009C7D3E"/>
    <w:rsid w:val="009D0529"/>
    <w:rsid w:val="009D0B0C"/>
    <w:rsid w:val="009D0C37"/>
    <w:rsid w:val="009D101F"/>
    <w:rsid w:val="009D2422"/>
    <w:rsid w:val="009D2D63"/>
    <w:rsid w:val="009D60F4"/>
    <w:rsid w:val="009D6686"/>
    <w:rsid w:val="009D6D3D"/>
    <w:rsid w:val="009D6FB2"/>
    <w:rsid w:val="009D7037"/>
    <w:rsid w:val="009D71AB"/>
    <w:rsid w:val="009D72AF"/>
    <w:rsid w:val="009D7595"/>
    <w:rsid w:val="009D7679"/>
    <w:rsid w:val="009D7C0C"/>
    <w:rsid w:val="009D7F0B"/>
    <w:rsid w:val="009E1FA6"/>
    <w:rsid w:val="009E20EB"/>
    <w:rsid w:val="009E489A"/>
    <w:rsid w:val="009E5212"/>
    <w:rsid w:val="009E6C19"/>
    <w:rsid w:val="009E6E2F"/>
    <w:rsid w:val="009F0845"/>
    <w:rsid w:val="009F1EDE"/>
    <w:rsid w:val="009F2CEE"/>
    <w:rsid w:val="009F322D"/>
    <w:rsid w:val="009F3F1F"/>
    <w:rsid w:val="009F426B"/>
    <w:rsid w:val="009F6192"/>
    <w:rsid w:val="009F672D"/>
    <w:rsid w:val="009F6E2E"/>
    <w:rsid w:val="009F7EA7"/>
    <w:rsid w:val="00A000EF"/>
    <w:rsid w:val="00A00395"/>
    <w:rsid w:val="00A01B93"/>
    <w:rsid w:val="00A037A5"/>
    <w:rsid w:val="00A038EC"/>
    <w:rsid w:val="00A04292"/>
    <w:rsid w:val="00A051FE"/>
    <w:rsid w:val="00A059B1"/>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17"/>
    <w:rsid w:val="00A16E35"/>
    <w:rsid w:val="00A178DB"/>
    <w:rsid w:val="00A17B27"/>
    <w:rsid w:val="00A20159"/>
    <w:rsid w:val="00A2137A"/>
    <w:rsid w:val="00A21480"/>
    <w:rsid w:val="00A23BE3"/>
    <w:rsid w:val="00A24116"/>
    <w:rsid w:val="00A242BE"/>
    <w:rsid w:val="00A25BB6"/>
    <w:rsid w:val="00A278EB"/>
    <w:rsid w:val="00A320D9"/>
    <w:rsid w:val="00A326BC"/>
    <w:rsid w:val="00A32801"/>
    <w:rsid w:val="00A33243"/>
    <w:rsid w:val="00A33A01"/>
    <w:rsid w:val="00A33BC1"/>
    <w:rsid w:val="00A33C4B"/>
    <w:rsid w:val="00A33F92"/>
    <w:rsid w:val="00A342EB"/>
    <w:rsid w:val="00A34DCD"/>
    <w:rsid w:val="00A358F0"/>
    <w:rsid w:val="00A35CD1"/>
    <w:rsid w:val="00A35F96"/>
    <w:rsid w:val="00A361A3"/>
    <w:rsid w:val="00A36422"/>
    <w:rsid w:val="00A36474"/>
    <w:rsid w:val="00A37EFC"/>
    <w:rsid w:val="00A40451"/>
    <w:rsid w:val="00A40764"/>
    <w:rsid w:val="00A40A9D"/>
    <w:rsid w:val="00A412F8"/>
    <w:rsid w:val="00A41637"/>
    <w:rsid w:val="00A41972"/>
    <w:rsid w:val="00A41BCD"/>
    <w:rsid w:val="00A41D75"/>
    <w:rsid w:val="00A41ED3"/>
    <w:rsid w:val="00A43152"/>
    <w:rsid w:val="00A45E92"/>
    <w:rsid w:val="00A46FB9"/>
    <w:rsid w:val="00A47199"/>
    <w:rsid w:val="00A501AC"/>
    <w:rsid w:val="00A50246"/>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5862"/>
    <w:rsid w:val="00A661A9"/>
    <w:rsid w:val="00A66665"/>
    <w:rsid w:val="00A66B5B"/>
    <w:rsid w:val="00A66E07"/>
    <w:rsid w:val="00A672B3"/>
    <w:rsid w:val="00A674D5"/>
    <w:rsid w:val="00A676CB"/>
    <w:rsid w:val="00A67BE5"/>
    <w:rsid w:val="00A70B17"/>
    <w:rsid w:val="00A70D4D"/>
    <w:rsid w:val="00A719BF"/>
    <w:rsid w:val="00A72200"/>
    <w:rsid w:val="00A723D4"/>
    <w:rsid w:val="00A73059"/>
    <w:rsid w:val="00A7382E"/>
    <w:rsid w:val="00A73BA2"/>
    <w:rsid w:val="00A73F3E"/>
    <w:rsid w:val="00A7400C"/>
    <w:rsid w:val="00A74222"/>
    <w:rsid w:val="00A74387"/>
    <w:rsid w:val="00A74A95"/>
    <w:rsid w:val="00A7520F"/>
    <w:rsid w:val="00A75835"/>
    <w:rsid w:val="00A75DAC"/>
    <w:rsid w:val="00A76771"/>
    <w:rsid w:val="00A778F3"/>
    <w:rsid w:val="00A80C6E"/>
    <w:rsid w:val="00A80EB5"/>
    <w:rsid w:val="00A82509"/>
    <w:rsid w:val="00A82DDB"/>
    <w:rsid w:val="00A83FA7"/>
    <w:rsid w:val="00A84AAA"/>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4C4"/>
    <w:rsid w:val="00AA46E5"/>
    <w:rsid w:val="00AA46E6"/>
    <w:rsid w:val="00AA477D"/>
    <w:rsid w:val="00AA4E3C"/>
    <w:rsid w:val="00AA5FEE"/>
    <w:rsid w:val="00AA6624"/>
    <w:rsid w:val="00AA6D39"/>
    <w:rsid w:val="00AA6E94"/>
    <w:rsid w:val="00AA7BC6"/>
    <w:rsid w:val="00AA7D6B"/>
    <w:rsid w:val="00AB03C3"/>
    <w:rsid w:val="00AB060C"/>
    <w:rsid w:val="00AB07BF"/>
    <w:rsid w:val="00AB18D2"/>
    <w:rsid w:val="00AB1987"/>
    <w:rsid w:val="00AB223E"/>
    <w:rsid w:val="00AB299D"/>
    <w:rsid w:val="00AB2BF1"/>
    <w:rsid w:val="00AB3600"/>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2B05"/>
    <w:rsid w:val="00AD5212"/>
    <w:rsid w:val="00AD5E4E"/>
    <w:rsid w:val="00AD6657"/>
    <w:rsid w:val="00AD6ADD"/>
    <w:rsid w:val="00AD703C"/>
    <w:rsid w:val="00AE1ECB"/>
    <w:rsid w:val="00AE1FE5"/>
    <w:rsid w:val="00AE22E9"/>
    <w:rsid w:val="00AE2C21"/>
    <w:rsid w:val="00AE3026"/>
    <w:rsid w:val="00AE31CB"/>
    <w:rsid w:val="00AE460D"/>
    <w:rsid w:val="00AE4981"/>
    <w:rsid w:val="00AE499B"/>
    <w:rsid w:val="00AE4ABE"/>
    <w:rsid w:val="00AE59E0"/>
    <w:rsid w:val="00AE5C42"/>
    <w:rsid w:val="00AE601E"/>
    <w:rsid w:val="00AE609A"/>
    <w:rsid w:val="00AE6E56"/>
    <w:rsid w:val="00AE74EE"/>
    <w:rsid w:val="00AF0414"/>
    <w:rsid w:val="00AF0473"/>
    <w:rsid w:val="00AF0948"/>
    <w:rsid w:val="00AF0E8F"/>
    <w:rsid w:val="00AF15A0"/>
    <w:rsid w:val="00AF1B67"/>
    <w:rsid w:val="00AF2623"/>
    <w:rsid w:val="00AF2C40"/>
    <w:rsid w:val="00AF351C"/>
    <w:rsid w:val="00AF436C"/>
    <w:rsid w:val="00AF48F4"/>
    <w:rsid w:val="00AF4939"/>
    <w:rsid w:val="00AF4B35"/>
    <w:rsid w:val="00AF525C"/>
    <w:rsid w:val="00AF56FA"/>
    <w:rsid w:val="00AF584B"/>
    <w:rsid w:val="00AF6487"/>
    <w:rsid w:val="00AF6F09"/>
    <w:rsid w:val="00AF7A52"/>
    <w:rsid w:val="00B00963"/>
    <w:rsid w:val="00B01716"/>
    <w:rsid w:val="00B01BDE"/>
    <w:rsid w:val="00B02279"/>
    <w:rsid w:val="00B03227"/>
    <w:rsid w:val="00B038AD"/>
    <w:rsid w:val="00B038CA"/>
    <w:rsid w:val="00B03B5E"/>
    <w:rsid w:val="00B03B92"/>
    <w:rsid w:val="00B046B1"/>
    <w:rsid w:val="00B04801"/>
    <w:rsid w:val="00B04BD5"/>
    <w:rsid w:val="00B05534"/>
    <w:rsid w:val="00B06462"/>
    <w:rsid w:val="00B06E83"/>
    <w:rsid w:val="00B07922"/>
    <w:rsid w:val="00B10E8F"/>
    <w:rsid w:val="00B1104E"/>
    <w:rsid w:val="00B113E6"/>
    <w:rsid w:val="00B12088"/>
    <w:rsid w:val="00B12276"/>
    <w:rsid w:val="00B128A7"/>
    <w:rsid w:val="00B12D00"/>
    <w:rsid w:val="00B12D1D"/>
    <w:rsid w:val="00B137E7"/>
    <w:rsid w:val="00B143D3"/>
    <w:rsid w:val="00B14A97"/>
    <w:rsid w:val="00B14DD8"/>
    <w:rsid w:val="00B15017"/>
    <w:rsid w:val="00B155C3"/>
    <w:rsid w:val="00B16097"/>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277F7"/>
    <w:rsid w:val="00B3070B"/>
    <w:rsid w:val="00B30C78"/>
    <w:rsid w:val="00B323A4"/>
    <w:rsid w:val="00B33563"/>
    <w:rsid w:val="00B3404B"/>
    <w:rsid w:val="00B34094"/>
    <w:rsid w:val="00B343F3"/>
    <w:rsid w:val="00B34BA4"/>
    <w:rsid w:val="00B34FE4"/>
    <w:rsid w:val="00B36321"/>
    <w:rsid w:val="00B3727B"/>
    <w:rsid w:val="00B40FC0"/>
    <w:rsid w:val="00B422BE"/>
    <w:rsid w:val="00B4239A"/>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2C2"/>
    <w:rsid w:val="00B569FC"/>
    <w:rsid w:val="00B56BCA"/>
    <w:rsid w:val="00B57430"/>
    <w:rsid w:val="00B574C8"/>
    <w:rsid w:val="00B57C0E"/>
    <w:rsid w:val="00B57EAD"/>
    <w:rsid w:val="00B60C59"/>
    <w:rsid w:val="00B61ED0"/>
    <w:rsid w:val="00B6319D"/>
    <w:rsid w:val="00B63FDB"/>
    <w:rsid w:val="00B648B6"/>
    <w:rsid w:val="00B64967"/>
    <w:rsid w:val="00B64B32"/>
    <w:rsid w:val="00B65538"/>
    <w:rsid w:val="00B65A18"/>
    <w:rsid w:val="00B65F8B"/>
    <w:rsid w:val="00B660BB"/>
    <w:rsid w:val="00B6611D"/>
    <w:rsid w:val="00B66383"/>
    <w:rsid w:val="00B66799"/>
    <w:rsid w:val="00B66D30"/>
    <w:rsid w:val="00B66D50"/>
    <w:rsid w:val="00B67932"/>
    <w:rsid w:val="00B67D19"/>
    <w:rsid w:val="00B70163"/>
    <w:rsid w:val="00B706AF"/>
    <w:rsid w:val="00B7134B"/>
    <w:rsid w:val="00B71665"/>
    <w:rsid w:val="00B716BC"/>
    <w:rsid w:val="00B72331"/>
    <w:rsid w:val="00B725FA"/>
    <w:rsid w:val="00B72DFD"/>
    <w:rsid w:val="00B73BA9"/>
    <w:rsid w:val="00B73D87"/>
    <w:rsid w:val="00B73FA7"/>
    <w:rsid w:val="00B74318"/>
    <w:rsid w:val="00B76A92"/>
    <w:rsid w:val="00B76BCF"/>
    <w:rsid w:val="00B76C81"/>
    <w:rsid w:val="00B77B78"/>
    <w:rsid w:val="00B8022C"/>
    <w:rsid w:val="00B80357"/>
    <w:rsid w:val="00B80AC8"/>
    <w:rsid w:val="00B81929"/>
    <w:rsid w:val="00B81FE6"/>
    <w:rsid w:val="00B8206A"/>
    <w:rsid w:val="00B827C8"/>
    <w:rsid w:val="00B82FB2"/>
    <w:rsid w:val="00B83047"/>
    <w:rsid w:val="00B834A4"/>
    <w:rsid w:val="00B836B0"/>
    <w:rsid w:val="00B84072"/>
    <w:rsid w:val="00B84F18"/>
    <w:rsid w:val="00B853B4"/>
    <w:rsid w:val="00B85547"/>
    <w:rsid w:val="00B85C37"/>
    <w:rsid w:val="00B85D7B"/>
    <w:rsid w:val="00B860C8"/>
    <w:rsid w:val="00B86B9B"/>
    <w:rsid w:val="00B8792F"/>
    <w:rsid w:val="00B9125F"/>
    <w:rsid w:val="00B916FF"/>
    <w:rsid w:val="00B92FFE"/>
    <w:rsid w:val="00B9328D"/>
    <w:rsid w:val="00B93BBA"/>
    <w:rsid w:val="00B94445"/>
    <w:rsid w:val="00B9493B"/>
    <w:rsid w:val="00B9694B"/>
    <w:rsid w:val="00B97115"/>
    <w:rsid w:val="00B974FD"/>
    <w:rsid w:val="00B976D7"/>
    <w:rsid w:val="00BA02AD"/>
    <w:rsid w:val="00BA06AE"/>
    <w:rsid w:val="00BA11F3"/>
    <w:rsid w:val="00BA185E"/>
    <w:rsid w:val="00BA2050"/>
    <w:rsid w:val="00BA20D0"/>
    <w:rsid w:val="00BA27A1"/>
    <w:rsid w:val="00BA2EEB"/>
    <w:rsid w:val="00BA2EFA"/>
    <w:rsid w:val="00BA2F74"/>
    <w:rsid w:val="00BA3082"/>
    <w:rsid w:val="00BA5E53"/>
    <w:rsid w:val="00BA63D7"/>
    <w:rsid w:val="00BA759D"/>
    <w:rsid w:val="00BA7968"/>
    <w:rsid w:val="00BA7B15"/>
    <w:rsid w:val="00BB0320"/>
    <w:rsid w:val="00BB2668"/>
    <w:rsid w:val="00BB3275"/>
    <w:rsid w:val="00BB3604"/>
    <w:rsid w:val="00BB379D"/>
    <w:rsid w:val="00BB3F6D"/>
    <w:rsid w:val="00BB4131"/>
    <w:rsid w:val="00BB5B7E"/>
    <w:rsid w:val="00BB6024"/>
    <w:rsid w:val="00BB6239"/>
    <w:rsid w:val="00BB6FE9"/>
    <w:rsid w:val="00BB70A1"/>
    <w:rsid w:val="00BC02EF"/>
    <w:rsid w:val="00BC2111"/>
    <w:rsid w:val="00BC2848"/>
    <w:rsid w:val="00BC2DC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C7BCF"/>
    <w:rsid w:val="00BC7C9D"/>
    <w:rsid w:val="00BC7F0B"/>
    <w:rsid w:val="00BD07B4"/>
    <w:rsid w:val="00BD0910"/>
    <w:rsid w:val="00BD0EF7"/>
    <w:rsid w:val="00BD1039"/>
    <w:rsid w:val="00BD1CC1"/>
    <w:rsid w:val="00BD2A68"/>
    <w:rsid w:val="00BD2E54"/>
    <w:rsid w:val="00BD5061"/>
    <w:rsid w:val="00BD589A"/>
    <w:rsid w:val="00BD590E"/>
    <w:rsid w:val="00BD5D53"/>
    <w:rsid w:val="00BD672B"/>
    <w:rsid w:val="00BD6A10"/>
    <w:rsid w:val="00BD6ED4"/>
    <w:rsid w:val="00BE06DC"/>
    <w:rsid w:val="00BE181E"/>
    <w:rsid w:val="00BE1A32"/>
    <w:rsid w:val="00BE23F2"/>
    <w:rsid w:val="00BE2659"/>
    <w:rsid w:val="00BE292A"/>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AD8"/>
    <w:rsid w:val="00C01BFA"/>
    <w:rsid w:val="00C01C2E"/>
    <w:rsid w:val="00C024FD"/>
    <w:rsid w:val="00C02F81"/>
    <w:rsid w:val="00C04410"/>
    <w:rsid w:val="00C04991"/>
    <w:rsid w:val="00C04C79"/>
    <w:rsid w:val="00C0580B"/>
    <w:rsid w:val="00C05AC4"/>
    <w:rsid w:val="00C06539"/>
    <w:rsid w:val="00C07951"/>
    <w:rsid w:val="00C100F8"/>
    <w:rsid w:val="00C11959"/>
    <w:rsid w:val="00C1275D"/>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A52"/>
    <w:rsid w:val="00C21B28"/>
    <w:rsid w:val="00C21D3B"/>
    <w:rsid w:val="00C21DE8"/>
    <w:rsid w:val="00C22262"/>
    <w:rsid w:val="00C229E9"/>
    <w:rsid w:val="00C22F9B"/>
    <w:rsid w:val="00C24064"/>
    <w:rsid w:val="00C243EA"/>
    <w:rsid w:val="00C247A9"/>
    <w:rsid w:val="00C24E3E"/>
    <w:rsid w:val="00C25AA7"/>
    <w:rsid w:val="00C262EB"/>
    <w:rsid w:val="00C2682F"/>
    <w:rsid w:val="00C269F4"/>
    <w:rsid w:val="00C26CD3"/>
    <w:rsid w:val="00C26ED7"/>
    <w:rsid w:val="00C2703C"/>
    <w:rsid w:val="00C272E0"/>
    <w:rsid w:val="00C2763A"/>
    <w:rsid w:val="00C27BF9"/>
    <w:rsid w:val="00C27D3E"/>
    <w:rsid w:val="00C30297"/>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379A8"/>
    <w:rsid w:val="00C37CE0"/>
    <w:rsid w:val="00C4009F"/>
    <w:rsid w:val="00C404AF"/>
    <w:rsid w:val="00C40AD3"/>
    <w:rsid w:val="00C4102F"/>
    <w:rsid w:val="00C418ED"/>
    <w:rsid w:val="00C41AFE"/>
    <w:rsid w:val="00C41BC5"/>
    <w:rsid w:val="00C41E20"/>
    <w:rsid w:val="00C42136"/>
    <w:rsid w:val="00C434A1"/>
    <w:rsid w:val="00C43760"/>
    <w:rsid w:val="00C43890"/>
    <w:rsid w:val="00C43D1B"/>
    <w:rsid w:val="00C4426D"/>
    <w:rsid w:val="00C44990"/>
    <w:rsid w:val="00C44DB8"/>
    <w:rsid w:val="00C46786"/>
    <w:rsid w:val="00C46C79"/>
    <w:rsid w:val="00C50021"/>
    <w:rsid w:val="00C50045"/>
    <w:rsid w:val="00C50267"/>
    <w:rsid w:val="00C50446"/>
    <w:rsid w:val="00C511E1"/>
    <w:rsid w:val="00C51255"/>
    <w:rsid w:val="00C53013"/>
    <w:rsid w:val="00C53D02"/>
    <w:rsid w:val="00C54C13"/>
    <w:rsid w:val="00C54D4A"/>
    <w:rsid w:val="00C54DF5"/>
    <w:rsid w:val="00C54E36"/>
    <w:rsid w:val="00C54E64"/>
    <w:rsid w:val="00C55C44"/>
    <w:rsid w:val="00C55C7E"/>
    <w:rsid w:val="00C57A01"/>
    <w:rsid w:val="00C600E7"/>
    <w:rsid w:val="00C60692"/>
    <w:rsid w:val="00C60873"/>
    <w:rsid w:val="00C60AD4"/>
    <w:rsid w:val="00C6155D"/>
    <w:rsid w:val="00C6177C"/>
    <w:rsid w:val="00C617ED"/>
    <w:rsid w:val="00C61827"/>
    <w:rsid w:val="00C61CAE"/>
    <w:rsid w:val="00C61D2A"/>
    <w:rsid w:val="00C6319D"/>
    <w:rsid w:val="00C631C5"/>
    <w:rsid w:val="00C6390D"/>
    <w:rsid w:val="00C64160"/>
    <w:rsid w:val="00C64534"/>
    <w:rsid w:val="00C64859"/>
    <w:rsid w:val="00C65465"/>
    <w:rsid w:val="00C65502"/>
    <w:rsid w:val="00C675EB"/>
    <w:rsid w:val="00C700FE"/>
    <w:rsid w:val="00C71613"/>
    <w:rsid w:val="00C72424"/>
    <w:rsid w:val="00C73E8B"/>
    <w:rsid w:val="00C74F5C"/>
    <w:rsid w:val="00C75C02"/>
    <w:rsid w:val="00C76BFE"/>
    <w:rsid w:val="00C77681"/>
    <w:rsid w:val="00C77D90"/>
    <w:rsid w:val="00C808F0"/>
    <w:rsid w:val="00C809E5"/>
    <w:rsid w:val="00C823C6"/>
    <w:rsid w:val="00C846AC"/>
    <w:rsid w:val="00C8494C"/>
    <w:rsid w:val="00C8518A"/>
    <w:rsid w:val="00C85517"/>
    <w:rsid w:val="00C85BB7"/>
    <w:rsid w:val="00C86B76"/>
    <w:rsid w:val="00C86EE2"/>
    <w:rsid w:val="00C87920"/>
    <w:rsid w:val="00C87C25"/>
    <w:rsid w:val="00C87D04"/>
    <w:rsid w:val="00C903CD"/>
    <w:rsid w:val="00C9046D"/>
    <w:rsid w:val="00C904DC"/>
    <w:rsid w:val="00C9304D"/>
    <w:rsid w:val="00C9309A"/>
    <w:rsid w:val="00C93D8B"/>
    <w:rsid w:val="00C943F1"/>
    <w:rsid w:val="00C9453F"/>
    <w:rsid w:val="00C95672"/>
    <w:rsid w:val="00C95B0D"/>
    <w:rsid w:val="00C95EA6"/>
    <w:rsid w:val="00C960FF"/>
    <w:rsid w:val="00C96369"/>
    <w:rsid w:val="00C96B3F"/>
    <w:rsid w:val="00C96BB1"/>
    <w:rsid w:val="00C9794F"/>
    <w:rsid w:val="00CA0866"/>
    <w:rsid w:val="00CA0D06"/>
    <w:rsid w:val="00CA0DA0"/>
    <w:rsid w:val="00CA1531"/>
    <w:rsid w:val="00CA156C"/>
    <w:rsid w:val="00CA1C61"/>
    <w:rsid w:val="00CA1FC9"/>
    <w:rsid w:val="00CA22D7"/>
    <w:rsid w:val="00CA273C"/>
    <w:rsid w:val="00CA3BE1"/>
    <w:rsid w:val="00CA4298"/>
    <w:rsid w:val="00CA43AA"/>
    <w:rsid w:val="00CA59F7"/>
    <w:rsid w:val="00CA67E6"/>
    <w:rsid w:val="00CA6E68"/>
    <w:rsid w:val="00CA7208"/>
    <w:rsid w:val="00CB019B"/>
    <w:rsid w:val="00CB1279"/>
    <w:rsid w:val="00CB13DF"/>
    <w:rsid w:val="00CB216C"/>
    <w:rsid w:val="00CB2AE4"/>
    <w:rsid w:val="00CB2D12"/>
    <w:rsid w:val="00CB2E36"/>
    <w:rsid w:val="00CB38E8"/>
    <w:rsid w:val="00CB3CAD"/>
    <w:rsid w:val="00CB4009"/>
    <w:rsid w:val="00CB4985"/>
    <w:rsid w:val="00CB63DB"/>
    <w:rsid w:val="00CB677D"/>
    <w:rsid w:val="00CB6D83"/>
    <w:rsid w:val="00CB6FF0"/>
    <w:rsid w:val="00CB7503"/>
    <w:rsid w:val="00CB7847"/>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5F9"/>
    <w:rsid w:val="00CC76FA"/>
    <w:rsid w:val="00CD03D0"/>
    <w:rsid w:val="00CD04D5"/>
    <w:rsid w:val="00CD21B5"/>
    <w:rsid w:val="00CD3C27"/>
    <w:rsid w:val="00CD4084"/>
    <w:rsid w:val="00CD52D8"/>
    <w:rsid w:val="00CD59BF"/>
    <w:rsid w:val="00CD6CE9"/>
    <w:rsid w:val="00CD6E3C"/>
    <w:rsid w:val="00CD74BA"/>
    <w:rsid w:val="00CD7984"/>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8E0"/>
    <w:rsid w:val="00D04CA2"/>
    <w:rsid w:val="00D0573D"/>
    <w:rsid w:val="00D0592B"/>
    <w:rsid w:val="00D062C3"/>
    <w:rsid w:val="00D06BF8"/>
    <w:rsid w:val="00D07FF9"/>
    <w:rsid w:val="00D10EEE"/>
    <w:rsid w:val="00D11583"/>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2663A"/>
    <w:rsid w:val="00D30248"/>
    <w:rsid w:val="00D30A4B"/>
    <w:rsid w:val="00D30A65"/>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2CB3"/>
    <w:rsid w:val="00D43207"/>
    <w:rsid w:val="00D43375"/>
    <w:rsid w:val="00D44336"/>
    <w:rsid w:val="00D44BA5"/>
    <w:rsid w:val="00D45515"/>
    <w:rsid w:val="00D45602"/>
    <w:rsid w:val="00D456BD"/>
    <w:rsid w:val="00D4581E"/>
    <w:rsid w:val="00D45B3B"/>
    <w:rsid w:val="00D46A8E"/>
    <w:rsid w:val="00D47412"/>
    <w:rsid w:val="00D500A7"/>
    <w:rsid w:val="00D50531"/>
    <w:rsid w:val="00D50BD5"/>
    <w:rsid w:val="00D50C10"/>
    <w:rsid w:val="00D520CD"/>
    <w:rsid w:val="00D5213B"/>
    <w:rsid w:val="00D5238D"/>
    <w:rsid w:val="00D52EEF"/>
    <w:rsid w:val="00D5331B"/>
    <w:rsid w:val="00D54226"/>
    <w:rsid w:val="00D54D37"/>
    <w:rsid w:val="00D5579C"/>
    <w:rsid w:val="00D56213"/>
    <w:rsid w:val="00D566EA"/>
    <w:rsid w:val="00D56FC3"/>
    <w:rsid w:val="00D578A8"/>
    <w:rsid w:val="00D6162B"/>
    <w:rsid w:val="00D64807"/>
    <w:rsid w:val="00D6549B"/>
    <w:rsid w:val="00D65533"/>
    <w:rsid w:val="00D665CC"/>
    <w:rsid w:val="00D67252"/>
    <w:rsid w:val="00D70582"/>
    <w:rsid w:val="00D70C19"/>
    <w:rsid w:val="00D71176"/>
    <w:rsid w:val="00D715DF"/>
    <w:rsid w:val="00D716D3"/>
    <w:rsid w:val="00D71FF6"/>
    <w:rsid w:val="00D726A0"/>
    <w:rsid w:val="00D728D1"/>
    <w:rsid w:val="00D72E79"/>
    <w:rsid w:val="00D74279"/>
    <w:rsid w:val="00D746C5"/>
    <w:rsid w:val="00D75C30"/>
    <w:rsid w:val="00D7611B"/>
    <w:rsid w:val="00D76337"/>
    <w:rsid w:val="00D76468"/>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09B"/>
    <w:rsid w:val="00D85244"/>
    <w:rsid w:val="00D852E8"/>
    <w:rsid w:val="00D8615B"/>
    <w:rsid w:val="00D86C92"/>
    <w:rsid w:val="00D86F3B"/>
    <w:rsid w:val="00D8714F"/>
    <w:rsid w:val="00D875F0"/>
    <w:rsid w:val="00D901FE"/>
    <w:rsid w:val="00D911CB"/>
    <w:rsid w:val="00D9125F"/>
    <w:rsid w:val="00D91451"/>
    <w:rsid w:val="00D915BC"/>
    <w:rsid w:val="00D9169B"/>
    <w:rsid w:val="00D91B68"/>
    <w:rsid w:val="00D926EB"/>
    <w:rsid w:val="00D94985"/>
    <w:rsid w:val="00D956AE"/>
    <w:rsid w:val="00D958A4"/>
    <w:rsid w:val="00D95A0D"/>
    <w:rsid w:val="00D95B66"/>
    <w:rsid w:val="00D95E62"/>
    <w:rsid w:val="00D97119"/>
    <w:rsid w:val="00D974E4"/>
    <w:rsid w:val="00D97A46"/>
    <w:rsid w:val="00D97B49"/>
    <w:rsid w:val="00DA05D5"/>
    <w:rsid w:val="00DA0924"/>
    <w:rsid w:val="00DA29A1"/>
    <w:rsid w:val="00DA2BE1"/>
    <w:rsid w:val="00DA420D"/>
    <w:rsid w:val="00DA52B5"/>
    <w:rsid w:val="00DA5F0A"/>
    <w:rsid w:val="00DA640C"/>
    <w:rsid w:val="00DA6BAC"/>
    <w:rsid w:val="00DB0090"/>
    <w:rsid w:val="00DB11BA"/>
    <w:rsid w:val="00DB1811"/>
    <w:rsid w:val="00DB1B3D"/>
    <w:rsid w:val="00DB2117"/>
    <w:rsid w:val="00DB259D"/>
    <w:rsid w:val="00DB29B3"/>
    <w:rsid w:val="00DB3F87"/>
    <w:rsid w:val="00DB41D7"/>
    <w:rsid w:val="00DB4476"/>
    <w:rsid w:val="00DB45FA"/>
    <w:rsid w:val="00DB489D"/>
    <w:rsid w:val="00DB5750"/>
    <w:rsid w:val="00DB5FB0"/>
    <w:rsid w:val="00DB6293"/>
    <w:rsid w:val="00DB6413"/>
    <w:rsid w:val="00DB793D"/>
    <w:rsid w:val="00DB7B02"/>
    <w:rsid w:val="00DC0C02"/>
    <w:rsid w:val="00DC1591"/>
    <w:rsid w:val="00DC2163"/>
    <w:rsid w:val="00DC2997"/>
    <w:rsid w:val="00DC3267"/>
    <w:rsid w:val="00DC34C2"/>
    <w:rsid w:val="00DC46DA"/>
    <w:rsid w:val="00DC4F07"/>
    <w:rsid w:val="00DC500B"/>
    <w:rsid w:val="00DC54A4"/>
    <w:rsid w:val="00DC5E7C"/>
    <w:rsid w:val="00DC693A"/>
    <w:rsid w:val="00DC7A9D"/>
    <w:rsid w:val="00DC7B0D"/>
    <w:rsid w:val="00DC7CBE"/>
    <w:rsid w:val="00DD11EC"/>
    <w:rsid w:val="00DD1A9A"/>
    <w:rsid w:val="00DD1F42"/>
    <w:rsid w:val="00DD23B6"/>
    <w:rsid w:val="00DD2850"/>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0B08"/>
    <w:rsid w:val="00E01E80"/>
    <w:rsid w:val="00E02122"/>
    <w:rsid w:val="00E02CBF"/>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26B4"/>
    <w:rsid w:val="00E13B9C"/>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3F"/>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1B39"/>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72B"/>
    <w:rsid w:val="00E52B34"/>
    <w:rsid w:val="00E54271"/>
    <w:rsid w:val="00E5471A"/>
    <w:rsid w:val="00E5515A"/>
    <w:rsid w:val="00E552B0"/>
    <w:rsid w:val="00E55E94"/>
    <w:rsid w:val="00E5648B"/>
    <w:rsid w:val="00E56F98"/>
    <w:rsid w:val="00E60126"/>
    <w:rsid w:val="00E61AD9"/>
    <w:rsid w:val="00E61BA0"/>
    <w:rsid w:val="00E6224E"/>
    <w:rsid w:val="00E625E8"/>
    <w:rsid w:val="00E62B40"/>
    <w:rsid w:val="00E62DE9"/>
    <w:rsid w:val="00E630B7"/>
    <w:rsid w:val="00E634DA"/>
    <w:rsid w:val="00E6537C"/>
    <w:rsid w:val="00E6556D"/>
    <w:rsid w:val="00E6597E"/>
    <w:rsid w:val="00E6610F"/>
    <w:rsid w:val="00E66185"/>
    <w:rsid w:val="00E662AC"/>
    <w:rsid w:val="00E662CD"/>
    <w:rsid w:val="00E66737"/>
    <w:rsid w:val="00E66BBE"/>
    <w:rsid w:val="00E66D52"/>
    <w:rsid w:val="00E670C0"/>
    <w:rsid w:val="00E673E4"/>
    <w:rsid w:val="00E67818"/>
    <w:rsid w:val="00E7019F"/>
    <w:rsid w:val="00E703D7"/>
    <w:rsid w:val="00E70B76"/>
    <w:rsid w:val="00E70FEB"/>
    <w:rsid w:val="00E71501"/>
    <w:rsid w:val="00E71998"/>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1643"/>
    <w:rsid w:val="00E821AE"/>
    <w:rsid w:val="00E82475"/>
    <w:rsid w:val="00E83A86"/>
    <w:rsid w:val="00E84893"/>
    <w:rsid w:val="00E850F3"/>
    <w:rsid w:val="00E8686D"/>
    <w:rsid w:val="00E86A27"/>
    <w:rsid w:val="00E87749"/>
    <w:rsid w:val="00E87B42"/>
    <w:rsid w:val="00E87C7C"/>
    <w:rsid w:val="00E91944"/>
    <w:rsid w:val="00E91C81"/>
    <w:rsid w:val="00E92000"/>
    <w:rsid w:val="00E927B1"/>
    <w:rsid w:val="00E93E05"/>
    <w:rsid w:val="00E94568"/>
    <w:rsid w:val="00E94606"/>
    <w:rsid w:val="00E94624"/>
    <w:rsid w:val="00E94755"/>
    <w:rsid w:val="00E94862"/>
    <w:rsid w:val="00E9591C"/>
    <w:rsid w:val="00E95D04"/>
    <w:rsid w:val="00E9746A"/>
    <w:rsid w:val="00E97911"/>
    <w:rsid w:val="00EA0296"/>
    <w:rsid w:val="00EA072E"/>
    <w:rsid w:val="00EA17D3"/>
    <w:rsid w:val="00EA1E1D"/>
    <w:rsid w:val="00EA2240"/>
    <w:rsid w:val="00EA3622"/>
    <w:rsid w:val="00EA36F5"/>
    <w:rsid w:val="00EA3852"/>
    <w:rsid w:val="00EA3B26"/>
    <w:rsid w:val="00EA3CCE"/>
    <w:rsid w:val="00EA4048"/>
    <w:rsid w:val="00EA4698"/>
    <w:rsid w:val="00EA4ABA"/>
    <w:rsid w:val="00EA4B10"/>
    <w:rsid w:val="00EA5754"/>
    <w:rsid w:val="00EA5ECE"/>
    <w:rsid w:val="00EA6090"/>
    <w:rsid w:val="00EA706A"/>
    <w:rsid w:val="00EA72E4"/>
    <w:rsid w:val="00EA77C3"/>
    <w:rsid w:val="00EB0299"/>
    <w:rsid w:val="00EB10EE"/>
    <w:rsid w:val="00EB199D"/>
    <w:rsid w:val="00EB2172"/>
    <w:rsid w:val="00EB302B"/>
    <w:rsid w:val="00EB3987"/>
    <w:rsid w:val="00EB3B44"/>
    <w:rsid w:val="00EB46B3"/>
    <w:rsid w:val="00EB4736"/>
    <w:rsid w:val="00EB5336"/>
    <w:rsid w:val="00EB5413"/>
    <w:rsid w:val="00EB548F"/>
    <w:rsid w:val="00EB54C7"/>
    <w:rsid w:val="00EB55FB"/>
    <w:rsid w:val="00EB5639"/>
    <w:rsid w:val="00EB573B"/>
    <w:rsid w:val="00EB5F51"/>
    <w:rsid w:val="00EB5F73"/>
    <w:rsid w:val="00EB65B3"/>
    <w:rsid w:val="00EB66EA"/>
    <w:rsid w:val="00EB6AEB"/>
    <w:rsid w:val="00EB711D"/>
    <w:rsid w:val="00EB73F2"/>
    <w:rsid w:val="00EC0CE4"/>
    <w:rsid w:val="00EC11FF"/>
    <w:rsid w:val="00EC26DE"/>
    <w:rsid w:val="00EC2860"/>
    <w:rsid w:val="00EC3796"/>
    <w:rsid w:val="00EC3FDF"/>
    <w:rsid w:val="00EC44FD"/>
    <w:rsid w:val="00EC45A5"/>
    <w:rsid w:val="00EC6445"/>
    <w:rsid w:val="00EC6842"/>
    <w:rsid w:val="00EC70C6"/>
    <w:rsid w:val="00EC714B"/>
    <w:rsid w:val="00EC7F26"/>
    <w:rsid w:val="00ED02F9"/>
    <w:rsid w:val="00ED0444"/>
    <w:rsid w:val="00ED04EC"/>
    <w:rsid w:val="00ED052F"/>
    <w:rsid w:val="00ED0E29"/>
    <w:rsid w:val="00ED1286"/>
    <w:rsid w:val="00ED28C4"/>
    <w:rsid w:val="00ED334E"/>
    <w:rsid w:val="00ED3A2A"/>
    <w:rsid w:val="00ED6038"/>
    <w:rsid w:val="00ED653F"/>
    <w:rsid w:val="00ED6550"/>
    <w:rsid w:val="00ED7286"/>
    <w:rsid w:val="00ED7349"/>
    <w:rsid w:val="00ED748E"/>
    <w:rsid w:val="00ED7D4A"/>
    <w:rsid w:val="00EE02E3"/>
    <w:rsid w:val="00EE07BA"/>
    <w:rsid w:val="00EE0D34"/>
    <w:rsid w:val="00EE1515"/>
    <w:rsid w:val="00EE1EE0"/>
    <w:rsid w:val="00EE27CF"/>
    <w:rsid w:val="00EE2BF1"/>
    <w:rsid w:val="00EE34FA"/>
    <w:rsid w:val="00EE50CE"/>
    <w:rsid w:val="00EE5CD7"/>
    <w:rsid w:val="00EE6B14"/>
    <w:rsid w:val="00EE7737"/>
    <w:rsid w:val="00EE781A"/>
    <w:rsid w:val="00EF0315"/>
    <w:rsid w:val="00EF1588"/>
    <w:rsid w:val="00EF1D12"/>
    <w:rsid w:val="00EF208E"/>
    <w:rsid w:val="00EF2256"/>
    <w:rsid w:val="00EF2C03"/>
    <w:rsid w:val="00EF3A69"/>
    <w:rsid w:val="00EF4108"/>
    <w:rsid w:val="00EF5295"/>
    <w:rsid w:val="00EF54D4"/>
    <w:rsid w:val="00EF57D1"/>
    <w:rsid w:val="00EF581C"/>
    <w:rsid w:val="00EF6278"/>
    <w:rsid w:val="00EF707C"/>
    <w:rsid w:val="00EF7611"/>
    <w:rsid w:val="00EF7741"/>
    <w:rsid w:val="00EF78D0"/>
    <w:rsid w:val="00EF7C69"/>
    <w:rsid w:val="00F00080"/>
    <w:rsid w:val="00F00778"/>
    <w:rsid w:val="00F01821"/>
    <w:rsid w:val="00F01D9B"/>
    <w:rsid w:val="00F02F4B"/>
    <w:rsid w:val="00F043C9"/>
    <w:rsid w:val="00F04FA6"/>
    <w:rsid w:val="00F053FC"/>
    <w:rsid w:val="00F0554B"/>
    <w:rsid w:val="00F07EE5"/>
    <w:rsid w:val="00F10609"/>
    <w:rsid w:val="00F116E5"/>
    <w:rsid w:val="00F11F96"/>
    <w:rsid w:val="00F1202F"/>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3678"/>
    <w:rsid w:val="00F23747"/>
    <w:rsid w:val="00F24307"/>
    <w:rsid w:val="00F2497D"/>
    <w:rsid w:val="00F252EE"/>
    <w:rsid w:val="00F258D4"/>
    <w:rsid w:val="00F2670F"/>
    <w:rsid w:val="00F26FDE"/>
    <w:rsid w:val="00F30B00"/>
    <w:rsid w:val="00F314FE"/>
    <w:rsid w:val="00F31BBD"/>
    <w:rsid w:val="00F3318B"/>
    <w:rsid w:val="00F337B5"/>
    <w:rsid w:val="00F3569A"/>
    <w:rsid w:val="00F3572A"/>
    <w:rsid w:val="00F35823"/>
    <w:rsid w:val="00F35D8B"/>
    <w:rsid w:val="00F35DD8"/>
    <w:rsid w:val="00F36059"/>
    <w:rsid w:val="00F37823"/>
    <w:rsid w:val="00F3785E"/>
    <w:rsid w:val="00F3796F"/>
    <w:rsid w:val="00F37FBD"/>
    <w:rsid w:val="00F40B91"/>
    <w:rsid w:val="00F41186"/>
    <w:rsid w:val="00F41700"/>
    <w:rsid w:val="00F42E4B"/>
    <w:rsid w:val="00F43BA8"/>
    <w:rsid w:val="00F4512B"/>
    <w:rsid w:val="00F45D63"/>
    <w:rsid w:val="00F461CE"/>
    <w:rsid w:val="00F46256"/>
    <w:rsid w:val="00F46AB1"/>
    <w:rsid w:val="00F472D1"/>
    <w:rsid w:val="00F50C28"/>
    <w:rsid w:val="00F50D98"/>
    <w:rsid w:val="00F51A68"/>
    <w:rsid w:val="00F51ACB"/>
    <w:rsid w:val="00F5259A"/>
    <w:rsid w:val="00F528CB"/>
    <w:rsid w:val="00F52C49"/>
    <w:rsid w:val="00F53593"/>
    <w:rsid w:val="00F5392E"/>
    <w:rsid w:val="00F53994"/>
    <w:rsid w:val="00F53DD1"/>
    <w:rsid w:val="00F54325"/>
    <w:rsid w:val="00F547DD"/>
    <w:rsid w:val="00F54E53"/>
    <w:rsid w:val="00F55113"/>
    <w:rsid w:val="00F554E0"/>
    <w:rsid w:val="00F56998"/>
    <w:rsid w:val="00F56BA9"/>
    <w:rsid w:val="00F56BBE"/>
    <w:rsid w:val="00F579AF"/>
    <w:rsid w:val="00F6055B"/>
    <w:rsid w:val="00F6121D"/>
    <w:rsid w:val="00F6150C"/>
    <w:rsid w:val="00F6159D"/>
    <w:rsid w:val="00F615A6"/>
    <w:rsid w:val="00F6170F"/>
    <w:rsid w:val="00F61D08"/>
    <w:rsid w:val="00F624BA"/>
    <w:rsid w:val="00F62986"/>
    <w:rsid w:val="00F62CF0"/>
    <w:rsid w:val="00F6303A"/>
    <w:rsid w:val="00F63935"/>
    <w:rsid w:val="00F63CE2"/>
    <w:rsid w:val="00F64317"/>
    <w:rsid w:val="00F64C5A"/>
    <w:rsid w:val="00F6528B"/>
    <w:rsid w:val="00F6579E"/>
    <w:rsid w:val="00F6590B"/>
    <w:rsid w:val="00F65B12"/>
    <w:rsid w:val="00F65EB0"/>
    <w:rsid w:val="00F66105"/>
    <w:rsid w:val="00F67E40"/>
    <w:rsid w:val="00F70605"/>
    <w:rsid w:val="00F70900"/>
    <w:rsid w:val="00F70D49"/>
    <w:rsid w:val="00F718A3"/>
    <w:rsid w:val="00F71DC9"/>
    <w:rsid w:val="00F729CC"/>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59EC"/>
    <w:rsid w:val="00F85AEE"/>
    <w:rsid w:val="00F85E97"/>
    <w:rsid w:val="00F86307"/>
    <w:rsid w:val="00F863D0"/>
    <w:rsid w:val="00F864AB"/>
    <w:rsid w:val="00F86554"/>
    <w:rsid w:val="00F87688"/>
    <w:rsid w:val="00F877F0"/>
    <w:rsid w:val="00F87ECD"/>
    <w:rsid w:val="00F9028E"/>
    <w:rsid w:val="00F90703"/>
    <w:rsid w:val="00F9171E"/>
    <w:rsid w:val="00F91871"/>
    <w:rsid w:val="00F91899"/>
    <w:rsid w:val="00F92268"/>
    <w:rsid w:val="00F933A0"/>
    <w:rsid w:val="00F9341B"/>
    <w:rsid w:val="00F93676"/>
    <w:rsid w:val="00F93AC8"/>
    <w:rsid w:val="00F9431A"/>
    <w:rsid w:val="00F95419"/>
    <w:rsid w:val="00F9586C"/>
    <w:rsid w:val="00F963B6"/>
    <w:rsid w:val="00F96972"/>
    <w:rsid w:val="00F97167"/>
    <w:rsid w:val="00F97AE3"/>
    <w:rsid w:val="00FA03D8"/>
    <w:rsid w:val="00FA0478"/>
    <w:rsid w:val="00FA125F"/>
    <w:rsid w:val="00FA14F9"/>
    <w:rsid w:val="00FA1B38"/>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A7EAB"/>
    <w:rsid w:val="00FB0A05"/>
    <w:rsid w:val="00FB2B42"/>
    <w:rsid w:val="00FB3DAE"/>
    <w:rsid w:val="00FB45CA"/>
    <w:rsid w:val="00FB45E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C77"/>
    <w:rsid w:val="00FC2E5F"/>
    <w:rsid w:val="00FC385D"/>
    <w:rsid w:val="00FC5BCB"/>
    <w:rsid w:val="00FC5D44"/>
    <w:rsid w:val="00FC6576"/>
    <w:rsid w:val="00FC740F"/>
    <w:rsid w:val="00FC7852"/>
    <w:rsid w:val="00FC7867"/>
    <w:rsid w:val="00FC78C0"/>
    <w:rsid w:val="00FD00F8"/>
    <w:rsid w:val="00FD0BBA"/>
    <w:rsid w:val="00FD0C22"/>
    <w:rsid w:val="00FD0C3B"/>
    <w:rsid w:val="00FD0EAA"/>
    <w:rsid w:val="00FD1068"/>
    <w:rsid w:val="00FD16D0"/>
    <w:rsid w:val="00FD1973"/>
    <w:rsid w:val="00FD1AFB"/>
    <w:rsid w:val="00FD26D2"/>
    <w:rsid w:val="00FD2879"/>
    <w:rsid w:val="00FD34F0"/>
    <w:rsid w:val="00FD3BCF"/>
    <w:rsid w:val="00FD45E6"/>
    <w:rsid w:val="00FD4894"/>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D3E"/>
    <w:rsid w:val="00FE4F0E"/>
    <w:rsid w:val="00FE6BAD"/>
    <w:rsid w:val="00FE78A7"/>
    <w:rsid w:val="00FE7C80"/>
    <w:rsid w:val="00FF2B76"/>
    <w:rsid w:val="00FF2F94"/>
    <w:rsid w:val="00FF35C5"/>
    <w:rsid w:val="00FF37B2"/>
    <w:rsid w:val="00FF530E"/>
    <w:rsid w:val="00FF5C3C"/>
    <w:rsid w:val="00FF615B"/>
    <w:rsid w:val="00FF7695"/>
    <w:rsid w:val="29729D5D"/>
    <w:rsid w:val="62C780E2"/>
    <w:rsid w:val="6D1DC6A4"/>
    <w:rsid w:val="6E90F9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B67C8270-E051-424C-B7CF-3E001A13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autoRedefine/>
    <w:unhideWhenUsed/>
    <w:qFormat/>
    <w:rsid w:val="008F4697"/>
    <w:pPr>
      <w:outlineLvl w:val="3"/>
    </w:pPr>
    <w:rPr>
      <w:b w:val="0"/>
      <w:bCs w:val="0"/>
      <w:iCs/>
      <w:sz w:val="28"/>
    </w:rPr>
  </w:style>
  <w:style w:type="paragraph" w:styleId="Heading5">
    <w:name w:val="heading 5"/>
    <w:basedOn w:val="Normal"/>
    <w:next w:val="Normal"/>
    <w:link w:val="Heading5Char"/>
    <w:autoRedefine/>
    <w:unhideWhenUsed/>
    <w:qFormat/>
    <w:rsid w:val="008A3B27"/>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FA3092"/>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8F4697"/>
    <w:rPr>
      <w:rFonts w:ascii="CVS Health Sans" w:eastAsiaTheme="majorEastAsia" w:hAnsi="CVS Health Sans" w:cs="Arial"/>
      <w:iCs/>
      <w:sz w:val="28"/>
      <w:szCs w:val="22"/>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A3B27"/>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FA309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StyleHeading5CVSHealthSans">
    <w:name w:val="Style Heading 5 + CVS Health Sans"/>
    <w:basedOn w:val="Heading5"/>
    <w:rsid w:val="000A4582"/>
  </w:style>
  <w:style w:type="paragraph" w:customStyle="1" w:styleId="RefTableHeader">
    <w:name w:val="Ref Table Header"/>
    <w:basedOn w:val="Header"/>
    <w:link w:val="RefTableHeaderChar"/>
    <w:qFormat/>
    <w:rsid w:val="0065634F"/>
    <w:rPr>
      <w:rFonts w:cs="Arial"/>
      <w:sz w:val="16"/>
      <w:szCs w:val="16"/>
    </w:rPr>
  </w:style>
  <w:style w:type="paragraph" w:customStyle="1" w:styleId="RefTableData">
    <w:name w:val="Ref Table Data"/>
    <w:basedOn w:val="Header"/>
    <w:link w:val="RefTableDataChar"/>
    <w:qFormat/>
    <w:rsid w:val="0065634F"/>
    <w:rPr>
      <w:rFonts w:cs="Arial"/>
      <w:sz w:val="16"/>
      <w:szCs w:val="16"/>
    </w:rPr>
  </w:style>
  <w:style w:type="character" w:customStyle="1" w:styleId="RefTableHeaderChar">
    <w:name w:val="Ref Table Header Char"/>
    <w:basedOn w:val="HeaderChar"/>
    <w:link w:val="RefTableHeader"/>
    <w:rsid w:val="0065634F"/>
    <w:rPr>
      <w:rFonts w:ascii="CVS Health Sans" w:hAnsi="CVS Health Sans" w:cs="Arial"/>
      <w:sz w:val="16"/>
      <w:szCs w:val="16"/>
    </w:rPr>
  </w:style>
  <w:style w:type="paragraph" w:customStyle="1" w:styleId="Marginfooter">
    <w:name w:val="Margin footer"/>
    <w:basedOn w:val="Normal"/>
    <w:link w:val="MarginfooterChar"/>
    <w:qFormat/>
    <w:rsid w:val="0065634F"/>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65634F"/>
    <w:rPr>
      <w:rFonts w:ascii="CVS Health Sans" w:hAnsi="CVS Health Sans" w:cs="Arial"/>
      <w:sz w:val="16"/>
      <w:szCs w:val="16"/>
    </w:rPr>
  </w:style>
  <w:style w:type="character" w:customStyle="1" w:styleId="MarginfooterChar">
    <w:name w:val="Margin footer Char"/>
    <w:basedOn w:val="DefaultParagraphFont"/>
    <w:link w:val="Marginfooter"/>
    <w:rsid w:val="0065634F"/>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25878557">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 w:id="213844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3d05f658-b5f7-4df6-8c02-f51ceb2e0127"/>
    <ds:schemaRef ds:uri="bed7683f-31c5-4c04-bbbd-fa4ba9c25b3c"/>
  </ds:schemaRefs>
</ds:datastoreItem>
</file>

<file path=customXml/itemProps3.xml><?xml version="1.0" encoding="utf-8"?>
<ds:datastoreItem xmlns:ds="http://schemas.openxmlformats.org/officeDocument/2006/customXml" ds:itemID="{8D4582EB-8ACA-47A9-98DE-77ADC2414681}"/>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3249</Words>
  <Characters>18523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ADHD Agents Post Limit PA Policy 1218-J, 683-J UDR 12-2023a</vt:lpstr>
    </vt:vector>
  </TitlesOfParts>
  <Company>PCS Health Systems</Company>
  <LinksUpToDate>false</LinksUpToDate>
  <CharactersWithSpaces>21729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ADHD Agents Post Limit PA Policy 1218-J, 683-J UDR 12-2023a</dc:title>
  <dc:subject/>
  <dc:creator>CVS Caremark</dc:creator>
  <cp:keywords/>
  <cp:lastModifiedBy>Zalac, Nicole</cp:lastModifiedBy>
  <cp:revision>5</cp:revision>
  <cp:lastPrinted>2024-04-05T09:10:00Z</cp:lastPrinted>
  <dcterms:created xsi:type="dcterms:W3CDTF">2025-07-09T22:59:00Z</dcterms:created>
  <dcterms:modified xsi:type="dcterms:W3CDTF">2025-07-10T19:50:00Z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MediaServiceImageTags">
    <vt:lpwstr/>
  </property>
  <property fmtid="{D5CDD505-2E9C-101B-9397-08002B2CF9AE}" pid="10" name="Order">
    <vt:r8>147800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ContentTypeId">
    <vt:lpwstr>0x0101004AE5A02051B9624785D9530930705DB3</vt:lpwstr>
  </property>
  <property fmtid="{D5CDD505-2E9C-101B-9397-08002B2CF9AE}" pid="18" name="_SourceUrl">
    <vt:lpwstr/>
  </property>
  <property fmtid="{D5CDD505-2E9C-101B-9397-08002B2CF9AE}" pid="19" name="_SharedFileIndex">
    <vt:lpwstr/>
  </property>
</Properties>
</file>